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AC" w:rsidRDefault="00544542">
      <w:pPr>
        <w:spacing w:line="240" w:lineRule="auto"/>
        <w:ind w:left="0" w:firstLine="0"/>
        <w:jc w:val="left"/>
      </w:pPr>
      <w:bookmarkStart w:id="0" w:name="_GoBack"/>
      <w:bookmarkEnd w:id="0"/>
      <w:r>
        <w:rPr>
          <w:b/>
        </w:rPr>
        <w:t xml:space="preserve"> </w:t>
      </w:r>
    </w:p>
    <w:p w:rsidR="00170BAC" w:rsidRDefault="00544542">
      <w:pPr>
        <w:spacing w:line="240" w:lineRule="auto"/>
        <w:ind w:left="0" w:firstLine="0"/>
        <w:jc w:val="right"/>
      </w:pPr>
      <w:r>
        <w:rPr>
          <w:b/>
        </w:rPr>
        <w:t xml:space="preserve">CONTRATO N° 020/2021 </w:t>
      </w:r>
    </w:p>
    <w:p w:rsidR="00170BAC" w:rsidRDefault="00544542">
      <w:pPr>
        <w:spacing w:line="240" w:lineRule="auto"/>
        <w:ind w:left="0" w:firstLine="0"/>
        <w:jc w:val="left"/>
      </w:pPr>
      <w:r>
        <w:rPr>
          <w:i/>
        </w:rPr>
        <w:t xml:space="preserve">        </w:t>
      </w:r>
      <w:r>
        <w:t xml:space="preserve"> </w:t>
      </w:r>
    </w:p>
    <w:p w:rsidR="00170BAC" w:rsidRDefault="00544542">
      <w:pPr>
        <w:ind w:left="3839"/>
      </w:pPr>
      <w:r>
        <w:t xml:space="preserve"> Contrato de Rateio celebrado entre o Município de  Itapiranga, Estado de Santa Catarina e o Consórcio  Intermunicipal de Saúde do Extremo Oeste de SC  CIS/AMEOSC, para o exercício de 2021.  </w:t>
      </w:r>
    </w:p>
    <w:p w:rsidR="00170BAC" w:rsidRDefault="00544542">
      <w:pPr>
        <w:spacing w:line="240" w:lineRule="auto"/>
        <w:ind w:left="0" w:firstLine="0"/>
        <w:jc w:val="left"/>
      </w:pPr>
      <w:r>
        <w:t xml:space="preserve"> </w:t>
      </w:r>
    </w:p>
    <w:p w:rsidR="00170BAC" w:rsidRDefault="00544542">
      <w:r>
        <w:t xml:space="preserve">Pelo presente Instrumento de </w:t>
      </w:r>
      <w:r>
        <w:rPr>
          <w:b/>
        </w:rPr>
        <w:t>Contrato de Rateio</w:t>
      </w:r>
      <w:r>
        <w:t xml:space="preserve"> que celebram entre si o </w:t>
      </w:r>
      <w:r>
        <w:rPr>
          <w:b/>
        </w:rPr>
        <w:t>Consórcio Intermunicipal de Saúde do Extremo Oeste de SC – CIS/AMEOSC</w:t>
      </w:r>
      <w:r>
        <w:t xml:space="preserve">, entidade com personalidade jurídica de direito privado, sem fins econômicos, consórcio público, inscrito no CNPJ </w:t>
      </w:r>
      <w:r>
        <w:t xml:space="preserve">n° 02.311.972/0001-22, com sede na Rua Padre Aurélio Canzi, n° 1628, Centro, na Cidade  de São Miguel do Oeste - SC, neste ato representado por seu Presidente, Sr. </w:t>
      </w:r>
      <w:r>
        <w:rPr>
          <w:b/>
        </w:rPr>
        <w:t>JOÃO LUIZ DE ANDRADE</w:t>
      </w:r>
      <w:r>
        <w:t>, Prefeito Municipal de São José do Cedro, residente e domiciliado na Ru</w:t>
      </w:r>
      <w:r>
        <w:t xml:space="preserve">a 25 de julho, n° 71, Bairro São Luiz, Município de São José do Cedro – SC, inscrito no CPF n° 644.561.889-87, Carteira de Identidade nº 5.274.846-1 SSP/PR e o </w:t>
      </w:r>
      <w:r>
        <w:rPr>
          <w:b/>
        </w:rPr>
        <w:t>Município de ITAPIRANGA</w:t>
      </w:r>
      <w:r>
        <w:t>, pessoa jurídica de direito público, inscrito no CNPJ n° 82.821.208/0001</w:t>
      </w:r>
      <w:r>
        <w:t xml:space="preserve">-36, com sede na Praça da Bandeiras, nº 200, Centro, integrante da Associação dos Municípios do Extremo Oeste de SC - AMEOSC, neste ato representado pela Administradora do </w:t>
      </w:r>
      <w:r>
        <w:rPr>
          <w:b/>
        </w:rPr>
        <w:t>FUNDO MUNICIPAL DE SAÚDE</w:t>
      </w:r>
      <w:r>
        <w:t xml:space="preserve"> Sra. </w:t>
      </w:r>
      <w:r>
        <w:rPr>
          <w:b/>
        </w:rPr>
        <w:t>CLAIR MARIA HECK HEINEN</w:t>
      </w:r>
      <w:r>
        <w:t>, brasileira, casada, residente</w:t>
      </w:r>
      <w:r>
        <w:t xml:space="preserve"> e domiciliada na Cidade de Itapiranga - SC, portadora do CPF nº 526.359.459-34, resolvem firmar o presente </w:t>
      </w:r>
      <w:r>
        <w:rPr>
          <w:b/>
        </w:rPr>
        <w:t>Contrato de Rateio</w:t>
      </w:r>
      <w:r>
        <w:t>,</w:t>
      </w:r>
      <w:r>
        <w:rPr>
          <w:b/>
        </w:rPr>
        <w:t xml:space="preserve"> </w:t>
      </w:r>
      <w:r>
        <w:t>em decorrência do</w:t>
      </w:r>
      <w:r>
        <w:rPr>
          <w:b/>
        </w:rPr>
        <w:t xml:space="preserve"> Processo de Licitação na Modalidade de Dispensa de Licitação n°018/2021 – FMS</w:t>
      </w:r>
      <w:r>
        <w:t>, com o objetivo de utilizar os s</w:t>
      </w:r>
      <w:r>
        <w:t xml:space="preserve">erviços médicos especializados oferecidos pelo CIS/AMEOSC. </w:t>
      </w:r>
    </w:p>
    <w:p w:rsidR="00170BAC" w:rsidRDefault="00544542">
      <w:pPr>
        <w:spacing w:line="240" w:lineRule="auto"/>
        <w:ind w:left="0" w:firstLine="0"/>
        <w:jc w:val="left"/>
      </w:pPr>
      <w:r>
        <w:t xml:space="preserve"> </w:t>
      </w:r>
    </w:p>
    <w:p w:rsidR="00170BAC" w:rsidRDefault="00544542">
      <w:pPr>
        <w:spacing w:line="240" w:lineRule="auto"/>
        <w:ind w:right="-15"/>
        <w:jc w:val="left"/>
      </w:pPr>
      <w:r>
        <w:rPr>
          <w:b/>
        </w:rPr>
        <w:t xml:space="preserve">CLÁUSULA PRIMEIRA – DAS DISPOSIÇÕES GERAIS </w:t>
      </w:r>
    </w:p>
    <w:p w:rsidR="00170BAC" w:rsidRDefault="00544542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170BAC" w:rsidRDefault="00544542">
      <w:r>
        <w:t xml:space="preserve">1.1 – Aplicam-se ao presente Contrato de Rateio as disposições da Lei Federal n° 11.107/05, Lei Federal n° 8.666/93, que dispõe sobre normas gerais </w:t>
      </w:r>
      <w:r>
        <w:t>de Contratação de Consórcios Públicos, Legislação Municipal de Ratificação do Protocolo de Intenções do CIS/AMEOSC, Lei Municipal 1.761 de 16 de dezembro de 1997 e Lei Municipal nº 3.172 de 20 de setembro de 2018, bem como, as Cláusulas do Contrato de Prog</w:t>
      </w:r>
      <w:r>
        <w:t>rama nº 10/2010.</w:t>
      </w:r>
      <w:r>
        <w:rPr>
          <w:b/>
        </w:rPr>
        <w:t xml:space="preserve"> </w:t>
      </w:r>
      <w:r>
        <w:t xml:space="preserve"> </w:t>
      </w:r>
    </w:p>
    <w:p w:rsidR="00170BAC" w:rsidRDefault="00544542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170BAC" w:rsidRDefault="00544542">
      <w:pPr>
        <w:spacing w:line="240" w:lineRule="auto"/>
        <w:ind w:right="-15"/>
        <w:jc w:val="left"/>
      </w:pPr>
      <w:r>
        <w:rPr>
          <w:b/>
        </w:rPr>
        <w:t xml:space="preserve">CLÁUSULA SEGUNDA – DAS NORMAS LEGAIS  </w:t>
      </w:r>
    </w:p>
    <w:p w:rsidR="00170BAC" w:rsidRDefault="00544542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170BAC" w:rsidRDefault="00544542">
      <w:r>
        <w:t xml:space="preserve">2.1 – É dispensada a realização de Licitação para a celebração deste Contrato de Rateio, com fundamento no artigo 24, inciso XXVI da Lei Federal n° 8.666/93. </w:t>
      </w:r>
    </w:p>
    <w:p w:rsidR="00170BAC" w:rsidRDefault="00544542">
      <w:pPr>
        <w:spacing w:line="240" w:lineRule="auto"/>
        <w:ind w:left="0" w:firstLine="0"/>
        <w:jc w:val="left"/>
      </w:pPr>
      <w:r>
        <w:t xml:space="preserve"> </w:t>
      </w:r>
    </w:p>
    <w:p w:rsidR="00170BAC" w:rsidRDefault="00544542">
      <w:pPr>
        <w:spacing w:line="240" w:lineRule="auto"/>
        <w:ind w:right="-15"/>
        <w:jc w:val="left"/>
      </w:pPr>
      <w:r>
        <w:rPr>
          <w:b/>
        </w:rPr>
        <w:t xml:space="preserve">CLÁUSULA TERCEIRA – DO OBJETO </w:t>
      </w:r>
    </w:p>
    <w:p w:rsidR="00170BAC" w:rsidRDefault="00544542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170BAC" w:rsidRDefault="00544542">
      <w:r>
        <w:t>3.1 – Este Contrato de Rateio tem por objetivo assegurar a prestação de serviços de Saúde especializados de referência, de média e alta complexidade a nível ambulatorial para a população do MUNICÍPIO DE ITAPIRANGA, em conformidade com as diretrizes do SUS,</w:t>
      </w:r>
      <w:r>
        <w:t xml:space="preserve"> assegurando o estabelecimento de um sistema de referência e contra-referência.  </w:t>
      </w:r>
    </w:p>
    <w:p w:rsidR="00170BAC" w:rsidRDefault="00544542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170BAC" w:rsidRDefault="00544542">
      <w:pPr>
        <w:spacing w:line="240" w:lineRule="auto"/>
        <w:ind w:right="-15"/>
        <w:jc w:val="left"/>
      </w:pPr>
      <w:r>
        <w:rPr>
          <w:b/>
        </w:rPr>
        <w:t xml:space="preserve">CLÁUSULA QUARTA – DA EXECUÇÃO DOS SERVIÇOS </w:t>
      </w:r>
    </w:p>
    <w:p w:rsidR="00170BAC" w:rsidRDefault="00544542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170BAC" w:rsidRDefault="00544542">
      <w:r>
        <w:t xml:space="preserve">4.1 – Os serviços previstos na Cláusula anterior serão prestados pelo CIS/AMEOSC na forma de Credenciamento, conforme relação </w:t>
      </w:r>
      <w:r>
        <w:t xml:space="preserve">de Credenciados. </w:t>
      </w:r>
    </w:p>
    <w:p w:rsidR="00170BAC" w:rsidRDefault="00544542">
      <w:pPr>
        <w:spacing w:line="240" w:lineRule="auto"/>
        <w:ind w:left="0" w:firstLine="0"/>
        <w:jc w:val="left"/>
      </w:pPr>
      <w:r>
        <w:t xml:space="preserve"> </w:t>
      </w:r>
    </w:p>
    <w:p w:rsidR="00170BAC" w:rsidRDefault="00544542">
      <w:pPr>
        <w:spacing w:line="240" w:lineRule="auto"/>
        <w:ind w:right="-15"/>
        <w:jc w:val="left"/>
      </w:pPr>
      <w:r>
        <w:rPr>
          <w:b/>
        </w:rPr>
        <w:t xml:space="preserve">CLÁUSULA QUINTA – DA VERIFICAÇÃO DA PRESTAÇÃO DOS SERVIÇOS PRESTADOS </w:t>
      </w:r>
    </w:p>
    <w:p w:rsidR="00170BAC" w:rsidRDefault="00544542">
      <w:r>
        <w:lastRenderedPageBreak/>
        <w:t xml:space="preserve">5.1 – Quanto à verificação, os serviços considerar-se-ão perfeitamente executados mediante verificação da Secretaria Municipal de Saúde de cada Município. </w:t>
      </w:r>
    </w:p>
    <w:p w:rsidR="00170BAC" w:rsidRDefault="00544542">
      <w:pPr>
        <w:spacing w:line="240" w:lineRule="auto"/>
        <w:ind w:left="0" w:firstLine="0"/>
        <w:jc w:val="left"/>
      </w:pPr>
      <w:r>
        <w:t xml:space="preserve"> </w:t>
      </w:r>
    </w:p>
    <w:p w:rsidR="00170BAC" w:rsidRDefault="00544542">
      <w:pPr>
        <w:spacing w:line="240" w:lineRule="auto"/>
        <w:ind w:right="-15"/>
        <w:jc w:val="left"/>
      </w:pPr>
      <w:r>
        <w:rPr>
          <w:b/>
        </w:rPr>
        <w:t xml:space="preserve">CLÁUSULA SEXTA – DO RATEIO </w:t>
      </w:r>
    </w:p>
    <w:p w:rsidR="00170BAC" w:rsidRDefault="00544542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170BAC" w:rsidRDefault="00544542">
      <w:r>
        <w:t xml:space="preserve">6.1 – Para a execução do Objeto deste Contrato, conforme disposto no Contrato de Programa, e pelo correto e perfeito desempenho dos serviços ora contratados, o Município de ITAPIRANGA repassará ao Consórcio a importância de </w:t>
      </w:r>
      <w:r>
        <w:rPr>
          <w:b/>
        </w:rPr>
        <w:t>R$</w:t>
      </w:r>
      <w:r>
        <w:rPr>
          <w:b/>
        </w:rPr>
        <w:t xml:space="preserve"> 231.038,50 (duzentos e trinta e um mil trinta e oito reais e cinquenta centavos)</w:t>
      </w:r>
      <w:r>
        <w:t xml:space="preserve">, que será paga em cinco parcelas mensais no valor de </w:t>
      </w:r>
      <w:r>
        <w:rPr>
          <w:b/>
        </w:rPr>
        <w:t>R$ 46.207,70 (quarenta e seis mil duzentos e sete reais e setenta centavos)</w:t>
      </w:r>
      <w:r>
        <w:t>, correspondendo a serviços médicos especializ</w:t>
      </w:r>
      <w:r>
        <w:t xml:space="preserve">ados e demais ações do CIS/AMEOSC, depositado em conta específica: Banco: 001 – Banco do Brasil, agência 0599-1, conta corrente 1.300-5. </w:t>
      </w:r>
    </w:p>
    <w:p w:rsidR="00170BAC" w:rsidRDefault="00544542">
      <w:r>
        <w:t>6.2 – O Município de Itapiranga utilizará os valores repassados em serviços médicos especializados a nível ambulatoria</w:t>
      </w:r>
      <w:r>
        <w:t xml:space="preserve">l de acordo com sua necessidade e nas condições operacionais do consorcio. </w:t>
      </w:r>
    </w:p>
    <w:p w:rsidR="00170BAC" w:rsidRDefault="00544542">
      <w:r>
        <w:t xml:space="preserve">6.3 – Caso ocorra a necessidade de utilização dos serviços além do valor do repasse estabelecido neste Contrato, o Município deverá firmar Termo Aditivo ou novo Contrato. </w:t>
      </w:r>
    </w:p>
    <w:p w:rsidR="00170BAC" w:rsidRDefault="00544542">
      <w:r>
        <w:t>6.4 – Os</w:t>
      </w:r>
      <w:r>
        <w:t xml:space="preserve"> valores não utilizados ficarão como crédito disponível para utilização do Município; e dos valores praticados pela tabela do CIS/AMEOSC, incidem quando se tratar de prestadores pessoa física o percentual de vinte por cento sobre os valores dos Credenciado</w:t>
      </w:r>
      <w:r>
        <w:t xml:space="preserve">s a título de encargos previdenciários. </w:t>
      </w:r>
    </w:p>
    <w:p w:rsidR="00170BAC" w:rsidRDefault="00544542">
      <w:pPr>
        <w:spacing w:line="240" w:lineRule="auto"/>
        <w:ind w:left="0" w:firstLine="0"/>
        <w:jc w:val="left"/>
      </w:pPr>
      <w:r>
        <w:t xml:space="preserve"> </w:t>
      </w:r>
    </w:p>
    <w:p w:rsidR="00170BAC" w:rsidRDefault="00544542">
      <w:pPr>
        <w:spacing w:line="240" w:lineRule="auto"/>
        <w:ind w:right="-15"/>
        <w:jc w:val="left"/>
      </w:pPr>
      <w:r>
        <w:rPr>
          <w:b/>
        </w:rPr>
        <w:t xml:space="preserve">CLÁUSULA SÉTIMA – DA RUBRICA ORÇAMENTÁRIA </w:t>
      </w:r>
    </w:p>
    <w:p w:rsidR="00170BAC" w:rsidRDefault="00544542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170BAC" w:rsidRDefault="00544542">
      <w:r>
        <w:t xml:space="preserve">7.1 – As despesas decorrentes do presente </w:t>
      </w:r>
      <w:r>
        <w:rPr>
          <w:b/>
        </w:rPr>
        <w:t xml:space="preserve">Contrato de Rateio </w:t>
      </w:r>
      <w:r>
        <w:t xml:space="preserve">correrão por conta da rubrica orçamentária de acordo com Lei Orçamentária Anual sob n° 3.392/2020 e respectivos anexos, nas seguintes rubricas orçamentárias: </w:t>
      </w:r>
    </w:p>
    <w:p w:rsidR="00170BAC" w:rsidRDefault="00544542">
      <w:pPr>
        <w:spacing w:after="4" w:line="276" w:lineRule="auto"/>
        <w:ind w:left="0" w:firstLine="0"/>
        <w:jc w:val="left"/>
      </w:pPr>
      <w:r>
        <w:t xml:space="preserve"> </w:t>
      </w:r>
    </w:p>
    <w:tbl>
      <w:tblPr>
        <w:tblStyle w:val="TableGrid"/>
        <w:tblW w:w="9362" w:type="dxa"/>
        <w:tblInd w:w="-2" w:type="dxa"/>
        <w:tblCellMar>
          <w:top w:w="71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1562"/>
        <w:gridCol w:w="5635"/>
        <w:gridCol w:w="1318"/>
        <w:gridCol w:w="847"/>
      </w:tblGrid>
      <w:tr w:rsidR="00170BAC">
        <w:trPr>
          <w:trHeight w:val="379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AC" w:rsidRDefault="00544542">
            <w:pPr>
              <w:spacing w:line="276" w:lineRule="auto"/>
              <w:ind w:left="0" w:firstLine="0"/>
              <w:jc w:val="left"/>
            </w:pPr>
            <w:r>
              <w:rPr>
                <w:b/>
              </w:rPr>
              <w:t xml:space="preserve">Rubrica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AC" w:rsidRDefault="00544542">
            <w:pPr>
              <w:spacing w:line="276" w:lineRule="auto"/>
              <w:ind w:left="0" w:firstLine="0"/>
              <w:jc w:val="left"/>
            </w:pPr>
            <w:r>
              <w:rPr>
                <w:b/>
              </w:rPr>
              <w:t xml:space="preserve">Especificação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AC" w:rsidRDefault="00544542">
            <w:pPr>
              <w:spacing w:line="276" w:lineRule="auto"/>
              <w:ind w:left="0" w:firstLine="0"/>
              <w:jc w:val="left"/>
            </w:pPr>
            <w:r>
              <w:rPr>
                <w:b/>
              </w:rPr>
              <w:t xml:space="preserve">Valor (R$)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AC" w:rsidRDefault="00544542">
            <w:pPr>
              <w:spacing w:line="276" w:lineRule="auto"/>
              <w:ind w:left="0" w:firstLine="0"/>
              <w:jc w:val="left"/>
            </w:pPr>
            <w:r>
              <w:rPr>
                <w:b/>
              </w:rPr>
              <w:t xml:space="preserve">(%) </w:t>
            </w:r>
          </w:p>
        </w:tc>
      </w:tr>
      <w:tr w:rsidR="00170BAC">
        <w:trPr>
          <w:trHeight w:val="392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AC" w:rsidRDefault="00544542">
            <w:pPr>
              <w:spacing w:line="276" w:lineRule="auto"/>
              <w:ind w:left="0" w:firstLine="0"/>
              <w:jc w:val="left"/>
            </w:pPr>
            <w:r>
              <w:t xml:space="preserve">3.3.71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AC" w:rsidRDefault="00544542">
            <w:pPr>
              <w:spacing w:line="276" w:lineRule="auto"/>
              <w:ind w:left="0" w:firstLine="0"/>
              <w:jc w:val="left"/>
            </w:pPr>
            <w:r>
              <w:t xml:space="preserve">Rateio pela Participação em Consórcio Público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AC" w:rsidRDefault="00544542">
            <w:pPr>
              <w:spacing w:line="276" w:lineRule="auto"/>
              <w:ind w:left="0" w:firstLine="0"/>
              <w:jc w:val="left"/>
            </w:pPr>
            <w:r>
              <w:t xml:space="preserve">231.038,50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AC" w:rsidRDefault="00544542">
            <w:pPr>
              <w:spacing w:line="276" w:lineRule="auto"/>
              <w:ind w:left="0" w:firstLine="0"/>
              <w:jc w:val="left"/>
            </w:pPr>
            <w:r>
              <w:t xml:space="preserve">100 </w:t>
            </w:r>
          </w:p>
        </w:tc>
      </w:tr>
      <w:tr w:rsidR="00170BAC">
        <w:trPr>
          <w:trHeight w:val="41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BAC" w:rsidRDefault="00170BAC">
            <w:pPr>
              <w:spacing w:line="276" w:lineRule="auto"/>
              <w:ind w:left="0" w:firstLine="0"/>
              <w:jc w:val="left"/>
            </w:pPr>
          </w:p>
        </w:tc>
        <w:tc>
          <w:tcPr>
            <w:tcW w:w="5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BAC" w:rsidRDefault="00544542">
            <w:pPr>
              <w:spacing w:line="276" w:lineRule="auto"/>
              <w:ind w:left="0" w:firstLine="0"/>
              <w:jc w:val="right"/>
            </w:pPr>
            <w:r>
              <w:rPr>
                <w:b/>
              </w:rPr>
              <w:t xml:space="preserve">TOTAL: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AC" w:rsidRDefault="00544542">
            <w:pPr>
              <w:spacing w:line="276" w:lineRule="auto"/>
              <w:ind w:left="0" w:firstLine="0"/>
              <w:jc w:val="left"/>
            </w:pPr>
            <w:r>
              <w:rPr>
                <w:b/>
              </w:rPr>
              <w:t xml:space="preserve">231.038,50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AC" w:rsidRDefault="00544542">
            <w:pPr>
              <w:spacing w:line="276" w:lineRule="auto"/>
              <w:ind w:left="0" w:firstLine="0"/>
              <w:jc w:val="left"/>
            </w:pPr>
            <w:r>
              <w:rPr>
                <w:b/>
              </w:rPr>
              <w:t xml:space="preserve">100 </w:t>
            </w:r>
          </w:p>
        </w:tc>
      </w:tr>
    </w:tbl>
    <w:p w:rsidR="00170BAC" w:rsidRDefault="00544542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170BAC" w:rsidRDefault="00544542">
      <w:r>
        <w:rPr>
          <w:b/>
        </w:rPr>
        <w:t xml:space="preserve">Parágrafo Único: </w:t>
      </w:r>
      <w:r>
        <w:t xml:space="preserve">Será excluído do Consórcio Público, após prévia suspensão, o ente consorciado que não consignar, em sua Lei Orçamentária ou em créditos adicionais, as dotações suficientes para suportar as despesas assumidas por meio de Contrato de Rateio. </w:t>
      </w:r>
    </w:p>
    <w:p w:rsidR="00170BAC" w:rsidRDefault="00544542">
      <w:pPr>
        <w:spacing w:line="240" w:lineRule="auto"/>
        <w:ind w:left="0" w:firstLine="0"/>
        <w:jc w:val="left"/>
      </w:pPr>
      <w:r>
        <w:t xml:space="preserve"> </w:t>
      </w:r>
    </w:p>
    <w:p w:rsidR="00170BAC" w:rsidRDefault="00544542">
      <w:pPr>
        <w:spacing w:line="240" w:lineRule="auto"/>
        <w:ind w:right="-15"/>
        <w:jc w:val="left"/>
      </w:pPr>
      <w:r>
        <w:rPr>
          <w:b/>
        </w:rPr>
        <w:t xml:space="preserve">CLÁUSULA OITAVA – DA PRESTAÇÃO DE CONTAS </w:t>
      </w:r>
    </w:p>
    <w:p w:rsidR="00170BAC" w:rsidRDefault="00544542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170BAC" w:rsidRDefault="00544542">
      <w:r>
        <w:t>8.1 – Com o objetivo de permitir o atendimento dos dispositivos da Lei Complementar n° 101, de 04 de maio de 2000, o Consórcio Público deve fornecer as informações necessárias para que sejam consolidadas, nas con</w:t>
      </w:r>
      <w:r>
        <w:t xml:space="preserve">tas do Município, todas as despesas realizadas com os recursos entregues por conta do presente Contrato de Rateio, de forma que possam ser contabilizadas na conformidade dos elementos econômicos e das atividades ou projetos atendidos.  </w:t>
      </w:r>
    </w:p>
    <w:p w:rsidR="00170BAC" w:rsidRDefault="00544542">
      <w:pPr>
        <w:spacing w:line="240" w:lineRule="auto"/>
        <w:ind w:left="0" w:firstLine="0"/>
        <w:jc w:val="left"/>
      </w:pPr>
      <w:r>
        <w:t xml:space="preserve"> </w:t>
      </w:r>
    </w:p>
    <w:p w:rsidR="00170BAC" w:rsidRDefault="00544542">
      <w:pPr>
        <w:spacing w:line="240" w:lineRule="auto"/>
        <w:ind w:right="-15"/>
        <w:jc w:val="left"/>
      </w:pPr>
      <w:r>
        <w:rPr>
          <w:b/>
        </w:rPr>
        <w:t>CLÁUSULA NONA – D</w:t>
      </w:r>
      <w:r>
        <w:rPr>
          <w:b/>
        </w:rPr>
        <w:t xml:space="preserve">AS PENALIDADES </w:t>
      </w:r>
    </w:p>
    <w:p w:rsidR="00170BAC" w:rsidRDefault="00544542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170BAC" w:rsidRDefault="00544542">
      <w:r>
        <w:t xml:space="preserve">9.1 – O Consorciado inadimplente com o CIS/AMEOSC, será notificado formalmente sobre sua inadimplência, para que regularize sua situação. </w:t>
      </w:r>
    </w:p>
    <w:p w:rsidR="00170BAC" w:rsidRDefault="00544542">
      <w:pPr>
        <w:numPr>
          <w:ilvl w:val="0"/>
          <w:numId w:val="1"/>
        </w:numPr>
        <w:ind w:hanging="360"/>
      </w:pPr>
      <w:r>
        <w:lastRenderedPageBreak/>
        <w:t>Uma vez notificado da inadimplência, suspender-se-ão os serviços do consórcio ao respectivo consorc</w:t>
      </w:r>
      <w:r>
        <w:t xml:space="preserve">iado até a regularização da dívida.  </w:t>
      </w:r>
    </w:p>
    <w:p w:rsidR="00170BAC" w:rsidRDefault="00544542">
      <w:pPr>
        <w:numPr>
          <w:ilvl w:val="0"/>
          <w:numId w:val="1"/>
        </w:numPr>
        <w:ind w:hanging="360"/>
      </w:pPr>
      <w:r>
        <w:t xml:space="preserve">Não sendo regularizada a inadimplência no prazo de </w:t>
      </w:r>
      <w:r>
        <w:rPr>
          <w:b/>
        </w:rPr>
        <w:t>noventa</w:t>
      </w:r>
      <w:r>
        <w:t xml:space="preserve"> </w:t>
      </w:r>
      <w:r>
        <w:rPr>
          <w:b/>
        </w:rPr>
        <w:t>dias</w:t>
      </w:r>
      <w:r>
        <w:t xml:space="preserve">, o ente consorciado será excluído do consórcio, mediante deliberação da Assembleia Geral, conforme artigo 43 do Estatuto Social. </w:t>
      </w:r>
    </w:p>
    <w:p w:rsidR="00170BAC" w:rsidRDefault="00544542">
      <w:pPr>
        <w:numPr>
          <w:ilvl w:val="0"/>
          <w:numId w:val="1"/>
        </w:numPr>
        <w:ind w:hanging="360"/>
      </w:pPr>
      <w:r>
        <w:t>A exclusão prevista na C</w:t>
      </w:r>
      <w:r>
        <w:t xml:space="preserve">láusula Nona, não exime o participante do pagamento de débitos decorrentes referente ao período em que permaneceu inadimplente e como ativo participante, devendo o CIS/AMEOSC proceder a execução dos direitos.  </w:t>
      </w:r>
    </w:p>
    <w:p w:rsidR="00170BAC" w:rsidRDefault="00544542">
      <w:pPr>
        <w:spacing w:line="240" w:lineRule="auto"/>
        <w:ind w:left="0" w:firstLine="0"/>
        <w:jc w:val="left"/>
      </w:pPr>
      <w:r>
        <w:t xml:space="preserve"> </w:t>
      </w:r>
    </w:p>
    <w:p w:rsidR="00170BAC" w:rsidRDefault="00544542">
      <w:pPr>
        <w:spacing w:line="240" w:lineRule="auto"/>
        <w:ind w:right="-15"/>
        <w:jc w:val="left"/>
      </w:pPr>
      <w:r>
        <w:rPr>
          <w:b/>
        </w:rPr>
        <w:t>CLÁUSULA DÉCIMA – DAS OBRIGAÇÕES DO CONSÓRC</w:t>
      </w:r>
      <w:r>
        <w:rPr>
          <w:b/>
        </w:rPr>
        <w:t xml:space="preserve">IO </w:t>
      </w:r>
    </w:p>
    <w:p w:rsidR="00170BAC" w:rsidRDefault="00544542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170BAC" w:rsidRDefault="00544542">
      <w:r>
        <w:t xml:space="preserve">10.1 – São obrigações do CIS/AMEOSC: </w:t>
      </w:r>
    </w:p>
    <w:p w:rsidR="00170BAC" w:rsidRDefault="00544542">
      <w:pPr>
        <w:numPr>
          <w:ilvl w:val="0"/>
          <w:numId w:val="2"/>
        </w:numPr>
        <w:ind w:hanging="422"/>
      </w:pPr>
      <w:r>
        <w:t xml:space="preserve">Acompanhar e controlar a qualidade técnica durante todo o Processo, através de relatórios das atividades;   </w:t>
      </w:r>
    </w:p>
    <w:p w:rsidR="00170BAC" w:rsidRDefault="00544542">
      <w:pPr>
        <w:numPr>
          <w:ilvl w:val="0"/>
          <w:numId w:val="2"/>
        </w:numPr>
        <w:ind w:hanging="422"/>
      </w:pPr>
      <w:r>
        <w:t xml:space="preserve">Colocar à disposição do Município os serviços Credenciados; </w:t>
      </w:r>
    </w:p>
    <w:p w:rsidR="00170BAC" w:rsidRDefault="00544542">
      <w:pPr>
        <w:numPr>
          <w:ilvl w:val="0"/>
          <w:numId w:val="2"/>
        </w:numPr>
        <w:ind w:hanging="422"/>
      </w:pPr>
      <w:r>
        <w:t>Fornecer todos os impressos necessários ao</w:t>
      </w:r>
      <w:r>
        <w:t xml:space="preserve"> encaminhamento dos usuários aos serviços; </w:t>
      </w:r>
    </w:p>
    <w:p w:rsidR="00170BAC" w:rsidRDefault="00544542">
      <w:pPr>
        <w:numPr>
          <w:ilvl w:val="0"/>
          <w:numId w:val="2"/>
        </w:numPr>
        <w:ind w:hanging="422"/>
      </w:pPr>
      <w:r>
        <w:t xml:space="preserve">Colocar à disposição do Município sistema informatizado para agendamento de consultas, exames e/ou procedimentos; </w:t>
      </w:r>
    </w:p>
    <w:p w:rsidR="00170BAC" w:rsidRDefault="00544542">
      <w:pPr>
        <w:numPr>
          <w:ilvl w:val="0"/>
          <w:numId w:val="2"/>
        </w:numPr>
        <w:ind w:hanging="422"/>
      </w:pPr>
      <w:r>
        <w:t>Orientar as Secretarias Municipais de Saúde em relação aos procedimentos de encaminhamento de usu</w:t>
      </w:r>
      <w:r>
        <w:t xml:space="preserve">ários; </w:t>
      </w:r>
    </w:p>
    <w:p w:rsidR="00170BAC" w:rsidRDefault="00544542">
      <w:pPr>
        <w:numPr>
          <w:ilvl w:val="0"/>
          <w:numId w:val="2"/>
        </w:numPr>
        <w:ind w:hanging="422"/>
      </w:pPr>
      <w:r>
        <w:t xml:space="preserve">Fornecer mensalmente recibo do valor pago pelo Município; </w:t>
      </w:r>
    </w:p>
    <w:p w:rsidR="00170BAC" w:rsidRDefault="00544542">
      <w:pPr>
        <w:numPr>
          <w:ilvl w:val="0"/>
          <w:numId w:val="2"/>
        </w:numPr>
        <w:ind w:hanging="422"/>
      </w:pPr>
      <w:r>
        <w:t xml:space="preserve">Encaminhar, após processamento, relação de consultas e exames de usuários ao Município, acompanhado de relatório analítico dos procedimentos. </w:t>
      </w:r>
    </w:p>
    <w:p w:rsidR="00170BAC" w:rsidRDefault="00544542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170BAC" w:rsidRDefault="00544542">
      <w:pPr>
        <w:spacing w:line="240" w:lineRule="auto"/>
        <w:ind w:right="-15"/>
        <w:jc w:val="left"/>
      </w:pPr>
      <w:r>
        <w:rPr>
          <w:b/>
        </w:rPr>
        <w:t>CLÁUSULA DÉCIMA PRIMEIRA – DAS OBRIGAÇÕES DO</w:t>
      </w:r>
      <w:r>
        <w:rPr>
          <w:b/>
        </w:rPr>
        <w:t xml:space="preserve"> MUNICÍPIO </w:t>
      </w:r>
    </w:p>
    <w:p w:rsidR="00170BAC" w:rsidRDefault="00544542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170BAC" w:rsidRDefault="00544542">
      <w:r>
        <w:t xml:space="preserve">11.1 – São obrigações do Município: </w:t>
      </w:r>
    </w:p>
    <w:p w:rsidR="00170BAC" w:rsidRDefault="00544542">
      <w:pPr>
        <w:numPr>
          <w:ilvl w:val="0"/>
          <w:numId w:val="3"/>
        </w:numPr>
        <w:ind w:hanging="422"/>
      </w:pPr>
      <w:r>
        <w:t xml:space="preserve">Acompanhar os encaminhamentos de pacientes usuários dos serviços oferecidos pelo Consórcio; </w:t>
      </w:r>
    </w:p>
    <w:p w:rsidR="00170BAC" w:rsidRDefault="00544542">
      <w:pPr>
        <w:numPr>
          <w:ilvl w:val="0"/>
          <w:numId w:val="3"/>
        </w:numPr>
        <w:ind w:hanging="422"/>
      </w:pPr>
      <w:r>
        <w:t xml:space="preserve">Auxiliar o Consórcio a ampliar o número de profissionais credenciados na região da AMEOSC; </w:t>
      </w:r>
    </w:p>
    <w:p w:rsidR="00170BAC" w:rsidRDefault="00544542">
      <w:pPr>
        <w:numPr>
          <w:ilvl w:val="0"/>
          <w:numId w:val="3"/>
        </w:numPr>
        <w:ind w:hanging="422"/>
      </w:pPr>
      <w:r>
        <w:t xml:space="preserve">Definir conjuntamente com o Consórcio a necessidade de novos serviços. </w:t>
      </w:r>
    </w:p>
    <w:p w:rsidR="00170BAC" w:rsidRDefault="00544542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170BAC" w:rsidRDefault="00544542">
      <w:pPr>
        <w:spacing w:line="240" w:lineRule="auto"/>
        <w:ind w:right="-15"/>
        <w:jc w:val="left"/>
      </w:pPr>
      <w:r>
        <w:rPr>
          <w:b/>
        </w:rPr>
        <w:t xml:space="preserve">CLÁUSULA DÉCIMA SEGUNDA – DA VIGÊNCIA </w:t>
      </w:r>
    </w:p>
    <w:p w:rsidR="00170BAC" w:rsidRDefault="00544542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170BAC" w:rsidRDefault="00544542">
      <w:pPr>
        <w:pStyle w:val="Ttulo1"/>
      </w:pPr>
      <w:r>
        <w:rPr>
          <w:b w:val="0"/>
          <w:u w:val="none"/>
        </w:rPr>
        <w:t xml:space="preserve">12.1 – O presente Contrato de Rateio terá </w:t>
      </w:r>
      <w:r>
        <w:t>vigência a partir da data de sua assinatura até o</w:t>
      </w:r>
      <w:r>
        <w:rPr>
          <w:u w:val="none"/>
        </w:rPr>
        <w:t xml:space="preserve"> </w:t>
      </w:r>
      <w:r>
        <w:t>dia 31 de dezembro de 2021</w:t>
      </w:r>
      <w:r>
        <w:rPr>
          <w:b w:val="0"/>
          <w:u w:val="none"/>
        </w:rPr>
        <w:t>, podendo ser prorrogad</w:t>
      </w:r>
      <w:r>
        <w:rPr>
          <w:b w:val="0"/>
          <w:u w:val="none"/>
        </w:rPr>
        <w:t xml:space="preserve">o. </w:t>
      </w:r>
    </w:p>
    <w:p w:rsidR="00170BAC" w:rsidRDefault="00544542">
      <w:pPr>
        <w:spacing w:line="240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170BAC" w:rsidRDefault="00544542">
      <w:pPr>
        <w:spacing w:line="240" w:lineRule="auto"/>
        <w:ind w:right="-15"/>
        <w:jc w:val="left"/>
      </w:pPr>
      <w:r>
        <w:rPr>
          <w:b/>
        </w:rPr>
        <w:t xml:space="preserve">CLÁUSULA DÉCIMA TERCEIRA – DA FISCALIZAÇÃO </w:t>
      </w:r>
    </w:p>
    <w:p w:rsidR="00170BAC" w:rsidRDefault="00544542">
      <w:pPr>
        <w:spacing w:line="240" w:lineRule="auto"/>
        <w:ind w:left="0" w:firstLine="0"/>
        <w:jc w:val="left"/>
      </w:pPr>
      <w:r>
        <w:t xml:space="preserve"> </w:t>
      </w:r>
    </w:p>
    <w:p w:rsidR="00170BAC" w:rsidRDefault="00544542">
      <w:r>
        <w:t xml:space="preserve">13.1 – Ficam designadas as Servidoras Municipais </w:t>
      </w:r>
      <w:r>
        <w:rPr>
          <w:b/>
        </w:rPr>
        <w:t>Fernanda Jungbluth, matrícula nº 15614/01 e Line Rother, matrícula nº 11861/07</w:t>
      </w:r>
      <w:r>
        <w:t xml:space="preserve">, para no âmbito das suas respectivas atribuições, fiscalizar e acompanhar </w:t>
      </w:r>
      <w:r>
        <w:t xml:space="preserve">a realização dos serviços decorrentes deste Contrato. </w:t>
      </w:r>
    </w:p>
    <w:p w:rsidR="00170BAC" w:rsidRDefault="00544542">
      <w:pPr>
        <w:spacing w:line="240" w:lineRule="auto"/>
        <w:ind w:left="0" w:firstLine="0"/>
        <w:jc w:val="left"/>
      </w:pPr>
      <w:r>
        <w:t xml:space="preserve"> </w:t>
      </w:r>
    </w:p>
    <w:p w:rsidR="00170BAC" w:rsidRDefault="00544542">
      <w:pPr>
        <w:spacing w:line="240" w:lineRule="auto"/>
        <w:ind w:right="-15"/>
        <w:jc w:val="left"/>
      </w:pPr>
      <w:r>
        <w:rPr>
          <w:b/>
        </w:rPr>
        <w:t xml:space="preserve">CLÁUSULA DÉCIMA QUARTA – DO FORO </w:t>
      </w:r>
    </w:p>
    <w:p w:rsidR="00170BAC" w:rsidRDefault="00544542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170BAC" w:rsidRDefault="00544542">
      <w:r>
        <w:t xml:space="preserve">14.1 – Fica eleito o foro da Comarca de Itapiranga, para dirimir dúvidas ou questões oriundas do presente Contrato, com renúncia expressa aos demais, sem prejuízo </w:t>
      </w:r>
      <w:r>
        <w:t xml:space="preserve">do inciso X do artigo 29 da Constituição Federal, com a redação introduzida pela Emenda Constitucional nº 19/98. </w:t>
      </w:r>
    </w:p>
    <w:p w:rsidR="00170BAC" w:rsidRDefault="00544542">
      <w:pPr>
        <w:spacing w:line="240" w:lineRule="auto"/>
        <w:ind w:left="0" w:firstLine="0"/>
        <w:jc w:val="left"/>
      </w:pPr>
      <w:r>
        <w:t xml:space="preserve"> </w:t>
      </w:r>
    </w:p>
    <w:p w:rsidR="00170BAC" w:rsidRDefault="00544542">
      <w:pPr>
        <w:spacing w:line="240" w:lineRule="auto"/>
        <w:ind w:right="-15"/>
        <w:jc w:val="left"/>
      </w:pPr>
      <w:r>
        <w:rPr>
          <w:b/>
        </w:rPr>
        <w:t xml:space="preserve">CLÁUSULA DÉCIMA QUINTA – DAS DISPOSIÇÕES FINAIS </w:t>
      </w:r>
    </w:p>
    <w:p w:rsidR="00170BAC" w:rsidRDefault="00544542">
      <w:pPr>
        <w:spacing w:line="240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170BAC" w:rsidRDefault="00544542">
      <w:r>
        <w:t>14.1 – As demais questões serão resolvidas consoante as disposições do Estatuto Social do</w:t>
      </w:r>
      <w:r>
        <w:t xml:space="preserve"> CIS/AMEOSC e das normas da Lei Federal n° 11.107/2005, bem como pelas deliberações tomadas em Assembleia Geral. </w:t>
      </w:r>
    </w:p>
    <w:p w:rsidR="00170BAC" w:rsidRDefault="00544542">
      <w:r>
        <w:t xml:space="preserve"> </w:t>
      </w:r>
      <w:r>
        <w:tab/>
        <w:t xml:space="preserve">E por estarem assim contratadas as partes, firmam o presente Contrato de Rateio em </w:t>
      </w:r>
      <w:r>
        <w:rPr>
          <w:b/>
        </w:rPr>
        <w:t>três vias</w:t>
      </w:r>
      <w:r>
        <w:t xml:space="preserve"> de igual teor e forma. </w:t>
      </w:r>
    </w:p>
    <w:p w:rsidR="00170BAC" w:rsidRDefault="00544542">
      <w:pPr>
        <w:spacing w:line="240" w:lineRule="auto"/>
        <w:ind w:left="0" w:firstLine="0"/>
        <w:jc w:val="left"/>
      </w:pPr>
      <w:r>
        <w:t xml:space="preserve"> </w:t>
      </w:r>
    </w:p>
    <w:p w:rsidR="00170BAC" w:rsidRDefault="00544542">
      <w:pPr>
        <w:ind w:left="576"/>
      </w:pPr>
      <w:r>
        <w:t>Itapiranga - SC, 30 d</w:t>
      </w:r>
      <w:r>
        <w:t xml:space="preserve">e julho de 2021.  </w:t>
      </w:r>
    </w:p>
    <w:p w:rsidR="00170BAC" w:rsidRDefault="00544542">
      <w:pPr>
        <w:spacing w:line="240" w:lineRule="auto"/>
        <w:ind w:left="566" w:firstLine="0"/>
        <w:jc w:val="left"/>
      </w:pPr>
      <w:r>
        <w:t xml:space="preserve"> </w:t>
      </w:r>
    </w:p>
    <w:p w:rsidR="00170BAC" w:rsidRDefault="00544542">
      <w:pPr>
        <w:spacing w:line="240" w:lineRule="auto"/>
        <w:ind w:left="0" w:firstLine="0"/>
        <w:jc w:val="left"/>
      </w:pPr>
      <w:r>
        <w:t xml:space="preserve"> </w:t>
      </w:r>
    </w:p>
    <w:p w:rsidR="00170BAC" w:rsidRDefault="00544542">
      <w:r>
        <w:t xml:space="preserve">_______________________ </w:t>
      </w:r>
      <w:r>
        <w:tab/>
        <w:t xml:space="preserve">           __________________________ </w:t>
      </w:r>
    </w:p>
    <w:p w:rsidR="00170BAC" w:rsidRDefault="00544542">
      <w:pPr>
        <w:spacing w:line="240" w:lineRule="auto"/>
        <w:ind w:right="-15"/>
        <w:jc w:val="left"/>
      </w:pPr>
      <w:r>
        <w:rPr>
          <w:b/>
        </w:rPr>
        <w:t xml:space="preserve">Clair Maria Heck Heinen </w:t>
      </w:r>
      <w:r>
        <w:rPr>
          <w:b/>
        </w:rPr>
        <w:tab/>
        <w:t xml:space="preserve"> </w:t>
      </w:r>
      <w:r>
        <w:rPr>
          <w:b/>
        </w:rPr>
        <w:tab/>
        <w:t xml:space="preserve">           João Luiz de Andrade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170BAC" w:rsidRDefault="00544542">
      <w:r>
        <w:t xml:space="preserve">Gestora do FMS                                   Cons.Inter. de Saúde do Ext. Oeste de SC                                </w:t>
      </w:r>
    </w:p>
    <w:p w:rsidR="00170BAC" w:rsidRDefault="00544542">
      <w:r>
        <w:t xml:space="preserve">Contratante </w:t>
      </w:r>
      <w:r>
        <w:tab/>
        <w:t xml:space="preserve">                                              Cis/Ameosc </w:t>
      </w:r>
    </w:p>
    <w:p w:rsidR="00170BAC" w:rsidRDefault="00544542">
      <w:pPr>
        <w:ind w:right="2238"/>
      </w:pPr>
      <w:r>
        <w:t xml:space="preserve">                          </w:t>
      </w:r>
      <w:r>
        <w:tab/>
        <w:t xml:space="preserve"> </w:t>
      </w:r>
      <w:r>
        <w:tab/>
        <w:t xml:space="preserve"> </w:t>
      </w:r>
      <w:r>
        <w:tab/>
        <w:t xml:space="preserve">           Contratada </w:t>
      </w:r>
      <w:r>
        <w:tab/>
        <w:t xml:space="preserve"> Testemun</w:t>
      </w:r>
      <w:r>
        <w:t xml:space="preserve">has: </w:t>
      </w:r>
    </w:p>
    <w:p w:rsidR="00170BAC" w:rsidRDefault="00544542">
      <w:pPr>
        <w:spacing w:line="240" w:lineRule="auto"/>
        <w:ind w:left="0" w:firstLine="0"/>
        <w:jc w:val="left"/>
      </w:pPr>
      <w:r>
        <w:t xml:space="preserve"> </w:t>
      </w:r>
    </w:p>
    <w:p w:rsidR="00170BAC" w:rsidRDefault="00544542">
      <w:pPr>
        <w:spacing w:line="240" w:lineRule="auto"/>
        <w:ind w:left="0" w:firstLine="0"/>
        <w:jc w:val="left"/>
      </w:pPr>
      <w:r>
        <w:t xml:space="preserve"> </w:t>
      </w:r>
    </w:p>
    <w:p w:rsidR="00170BAC" w:rsidRDefault="00544542">
      <w:r>
        <w:t xml:space="preserve">_______________________ </w:t>
      </w:r>
      <w:r>
        <w:tab/>
        <w:t xml:space="preserve">           __________________________ </w:t>
      </w:r>
    </w:p>
    <w:p w:rsidR="00170BAC" w:rsidRDefault="00544542">
      <w:r>
        <w:t xml:space="preserve">Jarline Hofer                                                 Arlete Preis </w:t>
      </w:r>
    </w:p>
    <w:p w:rsidR="00170BAC" w:rsidRDefault="00544542">
      <w:r>
        <w:t xml:space="preserve">CPF: 094.836.479-32  </w:t>
      </w:r>
      <w:r>
        <w:tab/>
        <w:t xml:space="preserve"> </w:t>
      </w:r>
      <w:r>
        <w:tab/>
        <w:t xml:space="preserve">           CPF: 035.808.359-12 </w:t>
      </w:r>
    </w:p>
    <w:p w:rsidR="00170BAC" w:rsidRDefault="00544542">
      <w:pPr>
        <w:spacing w:line="240" w:lineRule="auto"/>
        <w:ind w:left="0" w:firstLine="0"/>
        <w:jc w:val="left"/>
      </w:pPr>
      <w:r>
        <w:t xml:space="preserve"> </w:t>
      </w:r>
    </w:p>
    <w:p w:rsidR="00170BAC" w:rsidRDefault="00544542">
      <w:pPr>
        <w:spacing w:line="240" w:lineRule="auto"/>
        <w:ind w:left="0" w:firstLine="0"/>
        <w:jc w:val="left"/>
      </w:pPr>
      <w:r>
        <w:t xml:space="preserve"> </w:t>
      </w:r>
    </w:p>
    <w:p w:rsidR="00170BAC" w:rsidRDefault="00544542">
      <w:r>
        <w:t xml:space="preserve">Visto pela Assessoria Jurídica: </w:t>
      </w:r>
    </w:p>
    <w:p w:rsidR="00170BAC" w:rsidRDefault="00544542">
      <w:pPr>
        <w:spacing w:line="240" w:lineRule="auto"/>
        <w:ind w:left="0" w:firstLine="0"/>
        <w:jc w:val="left"/>
      </w:pPr>
      <w:r>
        <w:t xml:space="preserve"> </w:t>
      </w:r>
    </w:p>
    <w:p w:rsidR="00170BAC" w:rsidRDefault="00544542">
      <w:pPr>
        <w:spacing w:line="240" w:lineRule="auto"/>
        <w:ind w:left="0" w:firstLine="0"/>
        <w:jc w:val="left"/>
      </w:pPr>
      <w:r>
        <w:t xml:space="preserve"> </w:t>
      </w:r>
    </w:p>
    <w:p w:rsidR="00170BAC" w:rsidRDefault="00544542">
      <w:r>
        <w:t>_________</w:t>
      </w:r>
      <w:r>
        <w:t xml:space="preserve">_____________  </w:t>
      </w:r>
      <w:r>
        <w:tab/>
        <w:t xml:space="preserve"> </w:t>
      </w:r>
      <w:r>
        <w:tab/>
        <w:t xml:space="preserve"> </w:t>
      </w:r>
    </w:p>
    <w:p w:rsidR="00170BAC" w:rsidRDefault="00544542">
      <w:r>
        <w:t xml:space="preserve">Arlei Eidt </w:t>
      </w:r>
    </w:p>
    <w:p w:rsidR="00170BAC" w:rsidRDefault="00544542">
      <w:r>
        <w:t xml:space="preserve">Adv. Assessor Jurídico do Município </w:t>
      </w:r>
    </w:p>
    <w:p w:rsidR="00170BAC" w:rsidRDefault="00544542">
      <w:r>
        <w:t xml:space="preserve">OAB/SC N° 43.136 </w:t>
      </w:r>
    </w:p>
    <w:p w:rsidR="00170BAC" w:rsidRDefault="00544542">
      <w:pPr>
        <w:spacing w:line="240" w:lineRule="auto"/>
        <w:ind w:left="0" w:firstLine="0"/>
        <w:jc w:val="left"/>
      </w:pPr>
      <w:r>
        <w:t xml:space="preserve"> </w:t>
      </w:r>
    </w:p>
    <w:sectPr w:rsidR="00170BAC">
      <w:footerReference w:type="even" r:id="rId7"/>
      <w:footerReference w:type="default" r:id="rId8"/>
      <w:footerReference w:type="first" r:id="rId9"/>
      <w:pgSz w:w="11906" w:h="16838"/>
      <w:pgMar w:top="1709" w:right="1128" w:bottom="2047" w:left="1419" w:header="720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542" w:rsidRDefault="00544542">
      <w:pPr>
        <w:spacing w:line="240" w:lineRule="auto"/>
      </w:pPr>
      <w:r>
        <w:separator/>
      </w:r>
    </w:p>
  </w:endnote>
  <w:endnote w:type="continuationSeparator" w:id="0">
    <w:p w:rsidR="00544542" w:rsidRDefault="005445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BAC" w:rsidRDefault="00544542">
    <w:pPr>
      <w:spacing w:after="32" w:line="240" w:lineRule="auto"/>
      <w:ind w:left="572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1263968</wp:posOffset>
          </wp:positionH>
          <wp:positionV relativeFrom="page">
            <wp:posOffset>9391243</wp:posOffset>
          </wp:positionV>
          <wp:extent cx="5495926" cy="809625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5926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70BAC" w:rsidRDefault="00544542">
    <w:pPr>
      <w:spacing w:line="240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BAC" w:rsidRDefault="00544542">
    <w:pPr>
      <w:spacing w:after="32" w:line="240" w:lineRule="auto"/>
      <w:ind w:left="572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1263968</wp:posOffset>
          </wp:positionH>
          <wp:positionV relativeFrom="page">
            <wp:posOffset>9391243</wp:posOffset>
          </wp:positionV>
          <wp:extent cx="5495926" cy="809625"/>
          <wp:effectExtent l="0" t="0" r="0" b="0"/>
          <wp:wrapSquare wrapText="bothSides"/>
          <wp:docPr id="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5926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C35953" w:rsidRPr="00C35953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70BAC" w:rsidRDefault="00544542">
    <w:pPr>
      <w:spacing w:line="240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BAC" w:rsidRDefault="00544542">
    <w:pPr>
      <w:spacing w:after="32" w:line="240" w:lineRule="auto"/>
      <w:ind w:left="572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1263968</wp:posOffset>
          </wp:positionH>
          <wp:positionV relativeFrom="page">
            <wp:posOffset>9391243</wp:posOffset>
          </wp:positionV>
          <wp:extent cx="5495926" cy="809625"/>
          <wp:effectExtent l="0" t="0" r="0" b="0"/>
          <wp:wrapSquare wrapText="bothSides"/>
          <wp:docPr id="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5926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170BAC" w:rsidRDefault="00544542">
    <w:pPr>
      <w:spacing w:line="240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542" w:rsidRDefault="00544542">
      <w:pPr>
        <w:spacing w:line="240" w:lineRule="auto"/>
      </w:pPr>
      <w:r>
        <w:separator/>
      </w:r>
    </w:p>
  </w:footnote>
  <w:footnote w:type="continuationSeparator" w:id="0">
    <w:p w:rsidR="00544542" w:rsidRDefault="005445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F485D"/>
    <w:multiLevelType w:val="hybridMultilevel"/>
    <w:tmpl w:val="CCA69C06"/>
    <w:lvl w:ilvl="0" w:tplc="1FF0AC86">
      <w:start w:val="1"/>
      <w:numFmt w:val="upperRoman"/>
      <w:lvlText w:val="%1."/>
      <w:lvlJc w:val="left"/>
      <w:pPr>
        <w:ind w:left="42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C8C0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A4EB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7A2F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CEDB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C29A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6CB7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6E67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2C59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3958EE"/>
    <w:multiLevelType w:val="hybridMultilevel"/>
    <w:tmpl w:val="BBF0927A"/>
    <w:lvl w:ilvl="0" w:tplc="FE1AB692">
      <w:start w:val="1"/>
      <w:numFmt w:val="upperRoman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4EBD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493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490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9E68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C4F4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8448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F81C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7094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05338A"/>
    <w:multiLevelType w:val="hybridMultilevel"/>
    <w:tmpl w:val="F3803E12"/>
    <w:lvl w:ilvl="0" w:tplc="9522B570">
      <w:start w:val="1"/>
      <w:numFmt w:val="upperRoman"/>
      <w:lvlText w:val="%1."/>
      <w:lvlJc w:val="left"/>
      <w:pPr>
        <w:ind w:left="42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125E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9EBD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F0CD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6277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A680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9807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9843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C076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AC"/>
    <w:rsid w:val="00170BAC"/>
    <w:rsid w:val="00544542"/>
    <w:rsid w:val="00C3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BEE51-BC7F-4664-88F4-BB075030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36" w:lineRule="auto"/>
      <w:ind w:left="-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 w:line="234" w:lineRule="auto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1460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User</cp:lastModifiedBy>
  <cp:revision>2</cp:revision>
  <dcterms:created xsi:type="dcterms:W3CDTF">2021-08-20T14:20:00Z</dcterms:created>
  <dcterms:modified xsi:type="dcterms:W3CDTF">2021-08-20T14:20:00Z</dcterms:modified>
</cp:coreProperties>
</file>