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004" w:rsidRDefault="00067BF4">
      <w:pPr>
        <w:spacing w:after="50"/>
        <w:ind w:left="4438"/>
      </w:pPr>
      <w:bookmarkStart w:id="0" w:name="_GoBack"/>
      <w:bookmarkEnd w:id="0"/>
      <w:r>
        <w:rPr>
          <w:b/>
        </w:rPr>
        <w:t>CONVÊNIO n</w:t>
      </w:r>
      <w:r>
        <w:rPr>
          <w:b/>
          <w:strike/>
        </w:rPr>
        <w:t>º</w:t>
      </w:r>
      <w:r>
        <w:rPr>
          <w:b/>
        </w:rPr>
        <w:t xml:space="preserve"> 2021TR000444 QUE ENTRE SI </w:t>
      </w:r>
    </w:p>
    <w:p w:rsidR="00620004" w:rsidRDefault="00067BF4">
      <w:pPr>
        <w:spacing w:after="50"/>
        <w:ind w:left="4438"/>
      </w:pPr>
      <w:r>
        <w:rPr>
          <w:b/>
        </w:rPr>
        <w:t xml:space="preserve">CELEBRAM </w:t>
      </w:r>
      <w:r>
        <w:rPr>
          <w:b/>
        </w:rPr>
        <w:tab/>
        <w:t xml:space="preserve">O </w:t>
      </w:r>
      <w:r>
        <w:rPr>
          <w:b/>
        </w:rPr>
        <w:tab/>
        <w:t xml:space="preserve">ESTADO </w:t>
      </w:r>
      <w:r>
        <w:rPr>
          <w:b/>
        </w:rPr>
        <w:tab/>
        <w:t xml:space="preserve">DE </w:t>
      </w:r>
      <w:r>
        <w:rPr>
          <w:b/>
        </w:rPr>
        <w:tab/>
        <w:t xml:space="preserve">SANTA </w:t>
      </w:r>
    </w:p>
    <w:p w:rsidR="00620004" w:rsidRDefault="00067BF4">
      <w:pPr>
        <w:spacing w:after="50"/>
        <w:ind w:left="4438"/>
      </w:pPr>
      <w:r>
        <w:rPr>
          <w:b/>
        </w:rPr>
        <w:t xml:space="preserve">CATARINA, </w:t>
      </w:r>
      <w:r>
        <w:rPr>
          <w:b/>
        </w:rPr>
        <w:tab/>
        <w:t xml:space="preserve">POR </w:t>
      </w:r>
      <w:r>
        <w:rPr>
          <w:b/>
        </w:rPr>
        <w:tab/>
        <w:t xml:space="preserve">INTERMÉDIO </w:t>
      </w:r>
      <w:r>
        <w:rPr>
          <w:b/>
        </w:rPr>
        <w:tab/>
        <w:t xml:space="preserve">DA </w:t>
      </w:r>
    </w:p>
    <w:p w:rsidR="00620004" w:rsidRDefault="00067BF4">
      <w:pPr>
        <w:spacing w:after="50"/>
        <w:ind w:left="4438"/>
      </w:pPr>
      <w:r>
        <w:rPr>
          <w:b/>
        </w:rPr>
        <w:t xml:space="preserve">SECRETARIA DE ESTADO DA SAÚDE, E O </w:t>
      </w:r>
    </w:p>
    <w:p w:rsidR="00620004" w:rsidRDefault="00067BF4">
      <w:pPr>
        <w:spacing w:after="50"/>
        <w:ind w:left="4438"/>
      </w:pPr>
      <w:r>
        <w:rPr>
          <w:b/>
        </w:rPr>
        <w:t xml:space="preserve">CONSÓRCIO INTERMUNICIPAL DE SAÚDE </w:t>
      </w:r>
    </w:p>
    <w:p w:rsidR="00620004" w:rsidRDefault="00067BF4">
      <w:pPr>
        <w:spacing w:after="474"/>
        <w:ind w:left="4438"/>
      </w:pPr>
      <w:r>
        <w:rPr>
          <w:b/>
        </w:rPr>
        <w:t>DA AMEOSC – CIS/AMEOSC, COM SEDE NO MUNICÍPIO DE SÃO MIGUEL DO OESTE.</w:t>
      </w:r>
    </w:p>
    <w:p w:rsidR="00620004" w:rsidRDefault="00067BF4">
      <w:pPr>
        <w:spacing w:after="563" w:line="240" w:lineRule="auto"/>
        <w:ind w:left="0" w:firstLine="0"/>
        <w:jc w:val="center"/>
      </w:pPr>
      <w:r>
        <w:rPr>
          <w:b/>
        </w:rPr>
        <w:t xml:space="preserve">PROCESSO n </w:t>
      </w:r>
      <w:r>
        <w:rPr>
          <w:b/>
          <w:strike/>
        </w:rPr>
        <w:t xml:space="preserve">º </w:t>
      </w:r>
      <w:r>
        <w:rPr>
          <w:b/>
        </w:rPr>
        <w:t xml:space="preserve"> SCC 3437/2020.</w:t>
      </w:r>
    </w:p>
    <w:p w:rsidR="00620004" w:rsidRDefault="00067BF4">
      <w:pPr>
        <w:spacing w:after="566"/>
      </w:pPr>
      <w:r>
        <w:t xml:space="preserve">O Estado de Santa Catarina, por intermédio da </w:t>
      </w:r>
      <w:r>
        <w:rPr>
          <w:b/>
        </w:rPr>
        <w:t>Secretaria de Estado da Saúde</w:t>
      </w:r>
      <w:r>
        <w:t>, gestora do Fundo Estadual de Saúde, CNPJ n</w:t>
      </w:r>
      <w:r>
        <w:rPr>
          <w:strike/>
        </w:rPr>
        <w:t>º</w:t>
      </w:r>
      <w:r>
        <w:t xml:space="preserve"> 80.673.411/0001-87, doravante denominada </w:t>
      </w:r>
      <w:r>
        <w:rPr>
          <w:b/>
        </w:rPr>
        <w:t xml:space="preserve">CONCEDENTE, </w:t>
      </w:r>
      <w:r>
        <w:t xml:space="preserve">neste ato representado pelo seu Secretário de Estado, </w:t>
      </w:r>
      <w:r>
        <w:rPr>
          <w:b/>
        </w:rPr>
        <w:t>ANDRÉ MOTT</w:t>
      </w:r>
      <w:r>
        <w:rPr>
          <w:b/>
        </w:rPr>
        <w:t>A RIBEIRO</w:t>
      </w:r>
      <w:r>
        <w:t xml:space="preserve">, CPF n° 674.539.290-91, RG nº 7.021.070.334, residente no domicílio especial à Rua Esteves Júnior, 160, 7° andar, Centro, Florianópolis/SC, e o </w:t>
      </w:r>
      <w:r>
        <w:rPr>
          <w:b/>
        </w:rPr>
        <w:t>Consórcio Intermunicipal de Saúde da AMEOSC – CIS/AMEOSC</w:t>
      </w:r>
      <w:r>
        <w:t>, com sede no Município de São Miguel do Oeste</w:t>
      </w:r>
      <w:r>
        <w:t>/SC, CNPJ n</w:t>
      </w:r>
      <w:r>
        <w:rPr>
          <w:strike/>
        </w:rPr>
        <w:t>º</w:t>
      </w:r>
      <w:r>
        <w:t xml:space="preserve"> 02.311.972/0001-22, doravante denominado </w:t>
      </w:r>
      <w:r>
        <w:rPr>
          <w:b/>
        </w:rPr>
        <w:t>CONVENENTE</w:t>
      </w:r>
      <w:r>
        <w:t xml:space="preserve">, neste ato representado pelo seu Presidente, </w:t>
      </w:r>
      <w:r>
        <w:rPr>
          <w:b/>
        </w:rPr>
        <w:t>JOÃO LUIZ DE ANDRADE</w:t>
      </w:r>
      <w:r>
        <w:t>, CPF n</w:t>
      </w:r>
      <w:r>
        <w:rPr>
          <w:strike/>
        </w:rPr>
        <w:t>°</w:t>
      </w:r>
      <w:r>
        <w:t xml:space="preserve"> 644.561.889-87, RG n</w:t>
      </w:r>
      <w:r>
        <w:rPr>
          <w:strike/>
        </w:rPr>
        <w:t>º</w:t>
      </w:r>
      <w:r>
        <w:t xml:space="preserve"> 5.274.846-1, residente no domicílio especial à Rua Padre Aurélio Canzi, 1628, sala 01, Centro, </w:t>
      </w:r>
      <w:r>
        <w:t xml:space="preserve">São Miguel do Oeste/SC, resolvem celebrar o presente </w:t>
      </w:r>
      <w:r>
        <w:rPr>
          <w:b/>
        </w:rPr>
        <w:t>CONVÊNIO n</w:t>
      </w:r>
      <w:r>
        <w:rPr>
          <w:b/>
          <w:strike/>
        </w:rPr>
        <w:t>º</w:t>
      </w:r>
      <w:r>
        <w:rPr>
          <w:b/>
        </w:rPr>
        <w:t xml:space="preserve"> 2021TR000444 </w:t>
      </w:r>
      <w:r>
        <w:t>com fundamento na Lei de Diretrizes Orçamentárias do corrente exercício, na Lei Federal n</w:t>
      </w:r>
      <w:r>
        <w:rPr>
          <w:strike/>
        </w:rPr>
        <w:t>º</w:t>
      </w:r>
      <w:r>
        <w:t xml:space="preserve"> 8.666, de 21 de junho de 1993, e nas suas alterações posteriores, na Lei Complementar n</w:t>
      </w:r>
      <w:r>
        <w:rPr>
          <w:strike/>
        </w:rPr>
        <w:t>º</w:t>
      </w:r>
      <w:r>
        <w:t xml:space="preserve"> 101 de 04 de maio de 2000, no Decreto n</w:t>
      </w:r>
      <w:r>
        <w:rPr>
          <w:strike/>
        </w:rPr>
        <w:t>º</w:t>
      </w:r>
      <w:r>
        <w:t xml:space="preserve"> 127, de 30 de março de 2011, e nas suas alterações posteriores, e na Instrução Normativa IN TC - 14, de 22 de junho de 2012, visando à transferência de recursos financeiros para auxiliar no custeio e manutenção do</w:t>
      </w:r>
      <w:r>
        <w:t>s serviços de saúde especializados, e oferecer melhor atendimento aos usuários do SUS da região da AMEOSC, de acordo com as cláusulas e condições a seguir estabelecidas:</w:t>
      </w:r>
    </w:p>
    <w:p w:rsidR="00620004" w:rsidRDefault="00067BF4">
      <w:pPr>
        <w:spacing w:after="562"/>
        <w:ind w:left="454"/>
      </w:pPr>
      <w:r>
        <w:rPr>
          <w:b/>
        </w:rPr>
        <w:lastRenderedPageBreak/>
        <w:t>DO OBJETO E DA FINALIDADE</w:t>
      </w:r>
    </w:p>
    <w:p w:rsidR="00620004" w:rsidRDefault="00067BF4">
      <w:pPr>
        <w:spacing w:after="0"/>
      </w:pPr>
      <w:r>
        <w:t>CLÁUSULA PRIMEIRA – Este Convênio tem como objeto a transfer</w:t>
      </w:r>
      <w:r>
        <w:t xml:space="preserve">ência de recursos financeiros para auxiliar no custeio e manutenção dos serviços de saúde especializados, e oferecer melhor atendimento aos usuários do SUS da região da AMEOSC, conforme Proposta de Trabalho apresentada pelo </w:t>
      </w:r>
      <w:r>
        <w:rPr>
          <w:b/>
        </w:rPr>
        <w:t xml:space="preserve">CONVENENTE </w:t>
      </w:r>
      <w:r>
        <w:t xml:space="preserve">e aprovada pelo </w:t>
      </w:r>
      <w:r>
        <w:rPr>
          <w:b/>
        </w:rPr>
        <w:t>CONCE</w:t>
      </w:r>
      <w:r>
        <w:rPr>
          <w:b/>
        </w:rPr>
        <w:t>DENTE</w:t>
      </w:r>
      <w:r>
        <w:t>, doravante denominada de Plano de Trabalho (Anexo I) a qual integra este Termo de Convênio independente de sua transcrição.</w:t>
      </w:r>
    </w:p>
    <w:p w:rsidR="00620004" w:rsidRDefault="00067BF4">
      <w:pPr>
        <w:spacing w:after="401"/>
        <w:ind w:left="454"/>
      </w:pPr>
      <w:r>
        <w:rPr>
          <w:b/>
        </w:rPr>
        <w:t>DOS RECURSOS</w:t>
      </w:r>
    </w:p>
    <w:p w:rsidR="00620004" w:rsidRDefault="00067BF4">
      <w:pPr>
        <w:spacing w:after="471"/>
      </w:pPr>
      <w:r>
        <w:t xml:space="preserve">CLÁUSULA SEGUNDA – Serão destinados recursos financeiros para a execução do objeto deste Convênio no montante de </w:t>
      </w:r>
      <w:r>
        <w:t>R$ 700.000,00 (setecentos mil reais), por parte do</w:t>
      </w:r>
      <w:r>
        <w:rPr>
          <w:b/>
        </w:rPr>
        <w:t xml:space="preserve"> CONCEDENTE</w:t>
      </w:r>
      <w:r>
        <w:t>, conforme Plano de Trabalho.</w:t>
      </w:r>
    </w:p>
    <w:p w:rsidR="00620004" w:rsidRDefault="00067BF4">
      <w:r>
        <w:t xml:space="preserve">CLÁUSULA TERCEIRA – Os recursos serão destinados pelo </w:t>
      </w:r>
      <w:r>
        <w:rPr>
          <w:b/>
        </w:rPr>
        <w:t>CONCEDENTE</w:t>
      </w:r>
      <w:r>
        <w:t xml:space="preserve"> na seguinte classificação orçamentária: 48000 – 48091 – 480091 – 10 – 302 – 0400 – 1076 – 014240 – 3</w:t>
      </w:r>
      <w:r>
        <w:t xml:space="preserve"> – 33 – 94 – 41.</w:t>
      </w:r>
    </w:p>
    <w:p w:rsidR="00620004" w:rsidRDefault="00067BF4">
      <w:pPr>
        <w:spacing w:after="401"/>
      </w:pPr>
      <w:r>
        <w:t>SUBCLÁUSULA ÚNICA – O pré-empenho n° 2021PE001085 foi realizado em 19/05/2021.</w:t>
      </w:r>
    </w:p>
    <w:p w:rsidR="00620004" w:rsidRDefault="00067BF4">
      <w:r>
        <w:t>CLÁUSULA QUARTA – Programa Transferência e empenhamento da despesa:</w:t>
      </w:r>
    </w:p>
    <w:tbl>
      <w:tblPr>
        <w:tblStyle w:val="TableGrid"/>
        <w:tblW w:w="9945" w:type="dxa"/>
        <w:tblInd w:w="26" w:type="dxa"/>
        <w:tblCellMar>
          <w:top w:w="63" w:type="dxa"/>
          <w:left w:w="6" w:type="dxa"/>
          <w:bottom w:w="0" w:type="dxa"/>
          <w:right w:w="115" w:type="dxa"/>
        </w:tblCellMar>
        <w:tblLook w:val="04A0" w:firstRow="1" w:lastRow="0" w:firstColumn="1" w:lastColumn="0" w:noHBand="0" w:noVBand="1"/>
      </w:tblPr>
      <w:tblGrid>
        <w:gridCol w:w="1650"/>
        <w:gridCol w:w="1232"/>
        <w:gridCol w:w="1559"/>
        <w:gridCol w:w="1843"/>
        <w:gridCol w:w="1456"/>
        <w:gridCol w:w="2205"/>
      </w:tblGrid>
      <w:tr w:rsidR="00620004">
        <w:trPr>
          <w:trHeight w:val="417"/>
        </w:trPr>
        <w:tc>
          <w:tcPr>
            <w:tcW w:w="1650" w:type="dxa"/>
            <w:vMerge w:val="restart"/>
            <w:tcBorders>
              <w:top w:val="single" w:sz="4" w:space="0" w:color="000000"/>
              <w:left w:val="single" w:sz="4" w:space="0" w:color="000000"/>
              <w:bottom w:val="single" w:sz="4" w:space="0" w:color="000000"/>
              <w:right w:val="single" w:sz="4" w:space="0" w:color="000000"/>
            </w:tcBorders>
            <w:vAlign w:val="center"/>
          </w:tcPr>
          <w:p w:rsidR="00620004" w:rsidRDefault="00067BF4">
            <w:pPr>
              <w:spacing w:after="46" w:line="240" w:lineRule="auto"/>
              <w:ind w:left="102" w:firstLine="0"/>
              <w:jc w:val="left"/>
            </w:pPr>
            <w:r>
              <w:t xml:space="preserve">Programa </w:t>
            </w:r>
          </w:p>
          <w:p w:rsidR="00620004" w:rsidRDefault="00067BF4">
            <w:pPr>
              <w:spacing w:after="0" w:line="276" w:lineRule="auto"/>
              <w:ind w:left="102" w:firstLine="0"/>
              <w:jc w:val="left"/>
            </w:pPr>
            <w:r>
              <w:t>Transferência</w:t>
            </w:r>
          </w:p>
        </w:tc>
        <w:tc>
          <w:tcPr>
            <w:tcW w:w="1232" w:type="dxa"/>
            <w:vMerge w:val="restart"/>
            <w:tcBorders>
              <w:top w:val="single" w:sz="4" w:space="0" w:color="000000"/>
              <w:left w:val="single" w:sz="4" w:space="0" w:color="000000"/>
              <w:bottom w:val="single" w:sz="4" w:space="0" w:color="000000"/>
              <w:right w:val="single" w:sz="4" w:space="0" w:color="000000"/>
            </w:tcBorders>
            <w:vAlign w:val="center"/>
          </w:tcPr>
          <w:p w:rsidR="00620004" w:rsidRDefault="00067BF4">
            <w:pPr>
              <w:spacing w:after="0" w:line="276" w:lineRule="auto"/>
              <w:ind w:left="102" w:firstLine="0"/>
              <w:jc w:val="left"/>
            </w:pPr>
            <w:r>
              <w:t>Fonte de Recursos</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620004" w:rsidRDefault="00067BF4">
            <w:pPr>
              <w:spacing w:after="0" w:line="276" w:lineRule="auto"/>
              <w:ind w:left="102" w:firstLine="0"/>
              <w:jc w:val="left"/>
            </w:pPr>
            <w:r>
              <w:t>Natureza da Despesa</w:t>
            </w:r>
          </w:p>
        </w:tc>
        <w:tc>
          <w:tcPr>
            <w:tcW w:w="1843" w:type="dxa"/>
            <w:tcBorders>
              <w:top w:val="single" w:sz="4" w:space="0" w:color="000000"/>
              <w:left w:val="single" w:sz="4" w:space="0" w:color="000000"/>
              <w:bottom w:val="single" w:sz="4" w:space="0" w:color="000000"/>
              <w:right w:val="nil"/>
            </w:tcBorders>
          </w:tcPr>
          <w:p w:rsidR="00620004" w:rsidRDefault="00620004">
            <w:pPr>
              <w:spacing w:after="0" w:line="276" w:lineRule="auto"/>
              <w:ind w:left="0" w:firstLine="0"/>
              <w:jc w:val="left"/>
            </w:pPr>
          </w:p>
        </w:tc>
        <w:tc>
          <w:tcPr>
            <w:tcW w:w="3661" w:type="dxa"/>
            <w:gridSpan w:val="2"/>
            <w:tcBorders>
              <w:top w:val="single" w:sz="4" w:space="0" w:color="000000"/>
              <w:left w:val="nil"/>
              <w:bottom w:val="single" w:sz="4" w:space="0" w:color="000000"/>
              <w:right w:val="single" w:sz="4" w:space="0" w:color="000000"/>
            </w:tcBorders>
          </w:tcPr>
          <w:p w:rsidR="00620004" w:rsidRDefault="00067BF4">
            <w:pPr>
              <w:spacing w:after="0" w:line="276" w:lineRule="auto"/>
              <w:ind w:left="0" w:firstLine="0"/>
              <w:jc w:val="left"/>
            </w:pPr>
            <w:r>
              <w:t>Nota de Empenho</w:t>
            </w:r>
          </w:p>
        </w:tc>
      </w:tr>
      <w:tr w:rsidR="00620004">
        <w:trPr>
          <w:trHeight w:val="897"/>
        </w:trPr>
        <w:tc>
          <w:tcPr>
            <w:tcW w:w="0" w:type="auto"/>
            <w:vMerge/>
            <w:tcBorders>
              <w:top w:val="nil"/>
              <w:left w:val="single" w:sz="4" w:space="0" w:color="000000"/>
              <w:bottom w:val="single" w:sz="4" w:space="0" w:color="000000"/>
              <w:right w:val="single" w:sz="4" w:space="0" w:color="000000"/>
            </w:tcBorders>
          </w:tcPr>
          <w:p w:rsidR="00620004" w:rsidRDefault="00620004">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20004" w:rsidRDefault="00620004">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20004" w:rsidRDefault="00620004">
            <w:pPr>
              <w:spacing w:after="0" w:line="276"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vAlign w:val="center"/>
          </w:tcPr>
          <w:p w:rsidR="00620004" w:rsidRDefault="00067BF4">
            <w:pPr>
              <w:spacing w:after="0" w:line="276" w:lineRule="auto"/>
              <w:ind w:left="102" w:firstLine="0"/>
              <w:jc w:val="left"/>
            </w:pPr>
            <w:r>
              <w:t>Número</w:t>
            </w:r>
          </w:p>
        </w:tc>
        <w:tc>
          <w:tcPr>
            <w:tcW w:w="1456" w:type="dxa"/>
            <w:tcBorders>
              <w:top w:val="single" w:sz="4" w:space="0" w:color="000000"/>
              <w:left w:val="single" w:sz="4" w:space="0" w:color="000000"/>
              <w:bottom w:val="single" w:sz="4" w:space="0" w:color="000000"/>
              <w:right w:val="single" w:sz="4" w:space="0" w:color="000000"/>
            </w:tcBorders>
            <w:vAlign w:val="center"/>
          </w:tcPr>
          <w:p w:rsidR="00620004" w:rsidRDefault="00067BF4">
            <w:pPr>
              <w:spacing w:after="0" w:line="276" w:lineRule="auto"/>
              <w:ind w:left="102" w:firstLine="0"/>
              <w:jc w:val="left"/>
            </w:pPr>
            <w:r>
              <w:t>Data</w:t>
            </w:r>
          </w:p>
        </w:tc>
        <w:tc>
          <w:tcPr>
            <w:tcW w:w="2205" w:type="dxa"/>
            <w:tcBorders>
              <w:top w:val="single" w:sz="4" w:space="0" w:color="000000"/>
              <w:left w:val="single" w:sz="4" w:space="0" w:color="000000"/>
              <w:bottom w:val="single" w:sz="4" w:space="0" w:color="000000"/>
              <w:right w:val="single" w:sz="4" w:space="0" w:color="000000"/>
            </w:tcBorders>
            <w:vAlign w:val="center"/>
          </w:tcPr>
          <w:p w:rsidR="00620004" w:rsidRDefault="00067BF4">
            <w:pPr>
              <w:spacing w:after="0" w:line="276" w:lineRule="auto"/>
              <w:ind w:left="102" w:firstLine="0"/>
              <w:jc w:val="left"/>
            </w:pPr>
            <w:r>
              <w:t>Valor em R$</w:t>
            </w:r>
          </w:p>
        </w:tc>
      </w:tr>
      <w:tr w:rsidR="00620004">
        <w:trPr>
          <w:trHeight w:val="562"/>
        </w:trPr>
        <w:tc>
          <w:tcPr>
            <w:tcW w:w="1650" w:type="dxa"/>
            <w:tcBorders>
              <w:top w:val="single" w:sz="4" w:space="0" w:color="000000"/>
              <w:left w:val="single" w:sz="4" w:space="0" w:color="000000"/>
              <w:bottom w:val="single" w:sz="4" w:space="0" w:color="000000"/>
              <w:right w:val="single" w:sz="4" w:space="0" w:color="000000"/>
            </w:tcBorders>
          </w:tcPr>
          <w:p w:rsidR="00620004" w:rsidRDefault="00067BF4">
            <w:pPr>
              <w:spacing w:after="0" w:line="276" w:lineRule="auto"/>
              <w:ind w:left="102" w:firstLine="0"/>
              <w:jc w:val="left"/>
            </w:pPr>
            <w:r>
              <w:t>2021009813</w:t>
            </w:r>
          </w:p>
        </w:tc>
        <w:tc>
          <w:tcPr>
            <w:tcW w:w="1232" w:type="dxa"/>
            <w:tcBorders>
              <w:top w:val="single" w:sz="4" w:space="0" w:color="000000"/>
              <w:left w:val="single" w:sz="4" w:space="0" w:color="000000"/>
              <w:bottom w:val="single" w:sz="4" w:space="0" w:color="000000"/>
              <w:right w:val="single" w:sz="4" w:space="0" w:color="000000"/>
            </w:tcBorders>
          </w:tcPr>
          <w:p w:rsidR="00620004" w:rsidRDefault="00067BF4">
            <w:pPr>
              <w:spacing w:after="0" w:line="276" w:lineRule="auto"/>
              <w:ind w:left="102" w:firstLine="0"/>
              <w:jc w:val="left"/>
            </w:pPr>
            <w:r>
              <w:t>0100</w:t>
            </w:r>
          </w:p>
        </w:tc>
        <w:tc>
          <w:tcPr>
            <w:tcW w:w="1559" w:type="dxa"/>
            <w:tcBorders>
              <w:top w:val="single" w:sz="4" w:space="0" w:color="000000"/>
              <w:left w:val="single" w:sz="4" w:space="0" w:color="000000"/>
              <w:bottom w:val="single" w:sz="4" w:space="0" w:color="000000"/>
              <w:right w:val="single" w:sz="4" w:space="0" w:color="000000"/>
            </w:tcBorders>
          </w:tcPr>
          <w:p w:rsidR="00620004" w:rsidRDefault="00067BF4">
            <w:pPr>
              <w:spacing w:after="0" w:line="276" w:lineRule="auto"/>
              <w:ind w:left="102" w:firstLine="0"/>
              <w:jc w:val="left"/>
            </w:pPr>
            <w:r>
              <w:t>33944101</w:t>
            </w:r>
          </w:p>
        </w:tc>
        <w:tc>
          <w:tcPr>
            <w:tcW w:w="1843" w:type="dxa"/>
            <w:tcBorders>
              <w:top w:val="single" w:sz="4" w:space="0" w:color="000000"/>
              <w:left w:val="single" w:sz="4" w:space="0" w:color="000000"/>
              <w:bottom w:val="single" w:sz="4" w:space="0" w:color="000000"/>
              <w:right w:val="single" w:sz="4" w:space="0" w:color="000000"/>
            </w:tcBorders>
          </w:tcPr>
          <w:p w:rsidR="00620004" w:rsidRDefault="00067BF4">
            <w:pPr>
              <w:spacing w:after="0" w:line="276" w:lineRule="auto"/>
              <w:ind w:left="102" w:firstLine="0"/>
              <w:jc w:val="left"/>
            </w:pPr>
            <w:r>
              <w:t>2021NE019139</w:t>
            </w:r>
          </w:p>
        </w:tc>
        <w:tc>
          <w:tcPr>
            <w:tcW w:w="1456" w:type="dxa"/>
            <w:tcBorders>
              <w:top w:val="single" w:sz="4" w:space="0" w:color="000000"/>
              <w:left w:val="single" w:sz="4" w:space="0" w:color="000000"/>
              <w:bottom w:val="single" w:sz="4" w:space="0" w:color="000000"/>
              <w:right w:val="single" w:sz="4" w:space="0" w:color="000000"/>
            </w:tcBorders>
          </w:tcPr>
          <w:p w:rsidR="00620004" w:rsidRDefault="00067BF4">
            <w:pPr>
              <w:spacing w:after="0" w:line="276" w:lineRule="auto"/>
              <w:ind w:left="102" w:firstLine="0"/>
              <w:jc w:val="left"/>
            </w:pPr>
            <w:r>
              <w:t>19/05/2021</w:t>
            </w:r>
          </w:p>
        </w:tc>
        <w:tc>
          <w:tcPr>
            <w:tcW w:w="2205" w:type="dxa"/>
            <w:tcBorders>
              <w:top w:val="single" w:sz="4" w:space="0" w:color="000000"/>
              <w:left w:val="single" w:sz="4" w:space="0" w:color="000000"/>
              <w:bottom w:val="single" w:sz="4" w:space="0" w:color="000000"/>
              <w:right w:val="single" w:sz="4" w:space="0" w:color="000000"/>
            </w:tcBorders>
          </w:tcPr>
          <w:p w:rsidR="00620004" w:rsidRDefault="00067BF4">
            <w:pPr>
              <w:spacing w:after="0" w:line="276" w:lineRule="auto"/>
              <w:ind w:left="102" w:firstLine="0"/>
              <w:jc w:val="left"/>
            </w:pPr>
            <w:r>
              <w:t>700.000,00</w:t>
            </w:r>
          </w:p>
        </w:tc>
      </w:tr>
    </w:tbl>
    <w:p w:rsidR="00620004" w:rsidRDefault="00067BF4">
      <w:pPr>
        <w:spacing w:after="401"/>
        <w:ind w:left="454"/>
      </w:pPr>
      <w:r>
        <w:rPr>
          <w:b/>
        </w:rPr>
        <w:lastRenderedPageBreak/>
        <w:t>DAS OBRIGAÇÕES DO CONCEDENTE</w:t>
      </w:r>
    </w:p>
    <w:p w:rsidR="00620004" w:rsidRDefault="00067BF4">
      <w:r>
        <w:t>CLÁUSULA QUINTA – O CONCEDENTE obriga-se a:</w:t>
      </w:r>
    </w:p>
    <w:p w:rsidR="00620004" w:rsidRDefault="00067BF4">
      <w:pPr>
        <w:numPr>
          <w:ilvl w:val="0"/>
          <w:numId w:val="1"/>
        </w:numPr>
        <w:ind w:hanging="595"/>
      </w:pPr>
      <w:r>
        <w:t>providenciar a publicação do Convênio, em extrato, no Diário Oficial do Estado como condição de validade e eficácia;</w:t>
      </w:r>
    </w:p>
    <w:p w:rsidR="00620004" w:rsidRDefault="00067BF4">
      <w:pPr>
        <w:numPr>
          <w:ilvl w:val="0"/>
          <w:numId w:val="1"/>
        </w:numPr>
        <w:ind w:hanging="595"/>
      </w:pPr>
      <w:r>
        <w:t>transferir os recursos financeiros para a execução do Convênio na forma do cronograma de desembolso, constante do Plano de Trabalho;</w:t>
      </w:r>
    </w:p>
    <w:p w:rsidR="00620004" w:rsidRDefault="00067BF4">
      <w:pPr>
        <w:numPr>
          <w:ilvl w:val="0"/>
          <w:numId w:val="1"/>
        </w:numPr>
        <w:ind w:hanging="595"/>
      </w:pPr>
      <w:r>
        <w:t>analis</w:t>
      </w:r>
      <w:r>
        <w:t>ar as prestações de contas parciais no prazo de 45 (quarenta e cinco) dias e a prestação de contas final no prazo de 60 (sessenta) dias, ambos contados da data da sua apresentação;</w:t>
      </w:r>
    </w:p>
    <w:p w:rsidR="00620004" w:rsidRDefault="00067BF4">
      <w:pPr>
        <w:numPr>
          <w:ilvl w:val="0"/>
          <w:numId w:val="1"/>
        </w:numPr>
        <w:ind w:hanging="595"/>
      </w:pPr>
      <w:r>
        <w:t>comunicar à Diretoria de Auditoria Geral casos de não atendimento da finali</w:t>
      </w:r>
      <w:r>
        <w:t>dade pactuada;</w:t>
      </w:r>
    </w:p>
    <w:p w:rsidR="00620004" w:rsidRDefault="00067BF4">
      <w:pPr>
        <w:numPr>
          <w:ilvl w:val="0"/>
          <w:numId w:val="1"/>
        </w:numPr>
        <w:spacing w:after="0"/>
        <w:ind w:hanging="595"/>
      </w:pPr>
      <w:r>
        <w:t>comunicar ao convenente e ao interveniente, se houver, eventuais irregularidades de ordem técnica ou legal e suspender a transferência de recursos até a regularização; VI. prestar orientação técnica ao convenente.</w:t>
      </w:r>
    </w:p>
    <w:p w:rsidR="00620004" w:rsidRDefault="00067BF4">
      <w:pPr>
        <w:spacing w:after="401"/>
        <w:ind w:left="454"/>
      </w:pPr>
      <w:r>
        <w:rPr>
          <w:b/>
        </w:rPr>
        <w:t>DAS OBRIGAÇÕES DO CONVENENTE</w:t>
      </w:r>
    </w:p>
    <w:p w:rsidR="00620004" w:rsidRDefault="00067BF4">
      <w:r>
        <w:t>CLÁUSULA SEXTA – O CONVENENTE se obriga a:</w:t>
      </w:r>
    </w:p>
    <w:p w:rsidR="00620004" w:rsidRDefault="00067BF4">
      <w:pPr>
        <w:numPr>
          <w:ilvl w:val="1"/>
          <w:numId w:val="1"/>
        </w:numPr>
        <w:ind w:hanging="441"/>
      </w:pPr>
      <w:r>
        <w:t>realizar apenas as despesas previstas no Plano de Trabalho (Anexo I) e durante o período de vigência do Convênio;</w:t>
      </w:r>
    </w:p>
    <w:p w:rsidR="00620004" w:rsidRDefault="00067BF4">
      <w:pPr>
        <w:numPr>
          <w:ilvl w:val="1"/>
          <w:numId w:val="1"/>
        </w:numPr>
        <w:ind w:hanging="441"/>
      </w:pPr>
      <w:r>
        <w:t>utilizar os recursos nas finalidades pactuadas;</w:t>
      </w:r>
    </w:p>
    <w:p w:rsidR="00620004" w:rsidRDefault="00067BF4">
      <w:pPr>
        <w:numPr>
          <w:ilvl w:val="1"/>
          <w:numId w:val="1"/>
        </w:numPr>
        <w:ind w:hanging="441"/>
      </w:pPr>
      <w:r>
        <w:t>regularizar o processo</w:t>
      </w:r>
      <w:r>
        <w:t xml:space="preserve"> de abertura de conta corrente junto ao Banco do Brasil mediante: </w:t>
      </w:r>
    </w:p>
    <w:p w:rsidR="00620004" w:rsidRDefault="00067BF4">
      <w:pPr>
        <w:numPr>
          <w:ilvl w:val="2"/>
          <w:numId w:val="1"/>
        </w:numPr>
        <w:ind w:hanging="282"/>
      </w:pPr>
      <w:r>
        <w:t>cópia do Convênio firmado pelas partes;</w:t>
      </w:r>
    </w:p>
    <w:p w:rsidR="00620004" w:rsidRDefault="00067BF4">
      <w:pPr>
        <w:numPr>
          <w:ilvl w:val="2"/>
          <w:numId w:val="1"/>
        </w:numPr>
        <w:ind w:hanging="282"/>
      </w:pPr>
      <w:r>
        <w:lastRenderedPageBreak/>
        <w:t>documentos constantes na “Relação de documentos cadastrais para abertura de conta corrente” publicada no Portal SCtransferências</w:t>
      </w:r>
      <w:r>
        <w:rPr>
          <w:b/>
        </w:rPr>
        <w:t>;</w:t>
      </w:r>
    </w:p>
    <w:p w:rsidR="00620004" w:rsidRDefault="00067BF4">
      <w:pPr>
        <w:numPr>
          <w:ilvl w:val="2"/>
          <w:numId w:val="1"/>
        </w:numPr>
        <w:ind w:hanging="282"/>
      </w:pPr>
      <w:r>
        <w:t>autorização de apli</w:t>
      </w:r>
      <w:r>
        <w:t>cação dos recursos financeiros em fundo de aplicação financeira de curto prazo, ou, operação de mercado aberto, lastreados em títulos da dívida pública federal; e</w:t>
      </w:r>
    </w:p>
    <w:p w:rsidR="00620004" w:rsidRDefault="00067BF4">
      <w:pPr>
        <w:numPr>
          <w:ilvl w:val="2"/>
          <w:numId w:val="1"/>
        </w:numPr>
        <w:ind w:hanging="282"/>
      </w:pPr>
      <w:r>
        <w:t xml:space="preserve">autorização de fornecimento de extratos e transmissão de arquivos, ao Governo do Estado e ao </w:t>
      </w:r>
      <w:r>
        <w:t>Tribunal de Contas do Estado, contendo informações sobre a movimentação financeira da conta corrente para fins de fiscalização, análise dos dados e disponibilização das informações no Portal SCtransferências.</w:t>
      </w:r>
    </w:p>
    <w:p w:rsidR="00620004" w:rsidRDefault="00067BF4">
      <w:pPr>
        <w:numPr>
          <w:ilvl w:val="0"/>
          <w:numId w:val="2"/>
        </w:numPr>
        <w:ind w:left="1406" w:hanging="787"/>
      </w:pPr>
      <w:r>
        <w:t>depositar e movimentar todos os recursos destin</w:t>
      </w:r>
      <w:r>
        <w:t>ados ao Convênio em conta bancária única e específica por meio de transferência eletrônica (TED/DOC/PIX) e de transação eletrônica de pagamento de fatura de água, energia elétrica, telefone, gás, e de guias com encargos tributários incidentes sobre obras e</w:t>
      </w:r>
      <w:r>
        <w:t xml:space="preserve"> serviços;</w:t>
      </w:r>
    </w:p>
    <w:p w:rsidR="00620004" w:rsidRDefault="00067BF4">
      <w:pPr>
        <w:numPr>
          <w:ilvl w:val="0"/>
          <w:numId w:val="2"/>
        </w:numPr>
        <w:spacing w:after="166" w:line="240" w:lineRule="auto"/>
        <w:ind w:left="1406" w:hanging="787"/>
      </w:pPr>
      <w:r>
        <w:t>não repassar os recursos recebidos a outras entidades de direito público ou privado;</w:t>
      </w:r>
    </w:p>
    <w:p w:rsidR="00620004" w:rsidRDefault="00067BF4">
      <w:pPr>
        <w:numPr>
          <w:ilvl w:val="0"/>
          <w:numId w:val="2"/>
        </w:numPr>
        <w:ind w:left="1406" w:hanging="787"/>
      </w:pPr>
      <w:r>
        <w:t>executar as despesas observando os princípios da impessoalidade, da moralidade e da economicidade, em caso de entidade privada sem fins lucrativos;</w:t>
      </w:r>
    </w:p>
    <w:p w:rsidR="00620004" w:rsidRDefault="00067BF4">
      <w:pPr>
        <w:numPr>
          <w:ilvl w:val="0"/>
          <w:numId w:val="2"/>
        </w:numPr>
        <w:ind w:left="1406" w:hanging="787"/>
      </w:pPr>
      <w:r>
        <w:t>disponibiliz</w:t>
      </w:r>
      <w:r>
        <w:t xml:space="preserve">ar ao público o extrato do Convênio contendo o objeto, a finalidade, os valores, as datas de liberação e o detalhamento da aplicação dos recursos, em sua sede, no local da execução do objeto e em seu sítio oficial na </w:t>
      </w:r>
      <w:r>
        <w:rPr>
          <w:i/>
        </w:rPr>
        <w:t>internet</w:t>
      </w:r>
      <w:r>
        <w:t>, se houver;</w:t>
      </w:r>
    </w:p>
    <w:p w:rsidR="00620004" w:rsidRDefault="00067BF4">
      <w:pPr>
        <w:numPr>
          <w:ilvl w:val="0"/>
          <w:numId w:val="2"/>
        </w:numPr>
        <w:ind w:left="1406" w:hanging="787"/>
      </w:pPr>
      <w:r>
        <w:t xml:space="preserve">solicitar, quando </w:t>
      </w:r>
      <w:r>
        <w:t>necessário, alterações por meio de aditivo ou apostilamento, inclusive pedido de prorrogação do prazo de vigência do convênio, no prazo mínimo de 30 (trinta) dias que anteceder o término da vigência do instrumento com a devida justificativa, sob pena de nã</w:t>
      </w:r>
      <w:r>
        <w:t>o ter o pedido atendido por falta de prazo hábil para a realização do procedimento;</w:t>
      </w:r>
    </w:p>
    <w:p w:rsidR="00620004" w:rsidRDefault="00067BF4">
      <w:pPr>
        <w:numPr>
          <w:ilvl w:val="0"/>
          <w:numId w:val="2"/>
        </w:numPr>
        <w:spacing w:after="0"/>
        <w:ind w:left="1406" w:hanging="787"/>
      </w:pPr>
      <w:r>
        <w:t>realizar aplicação financeira dos recursos recebidos, enquanto não empregados na sua finalidade, conforme previsto na Cláusula Décima Primeira;</w:t>
      </w:r>
    </w:p>
    <w:p w:rsidR="00620004" w:rsidRDefault="00067BF4">
      <w:pPr>
        <w:numPr>
          <w:ilvl w:val="0"/>
          <w:numId w:val="2"/>
        </w:numPr>
        <w:ind w:left="1406" w:hanging="787"/>
      </w:pPr>
      <w:r>
        <w:lastRenderedPageBreak/>
        <w:t xml:space="preserve">prestar contas dos recursos </w:t>
      </w:r>
      <w:r>
        <w:t xml:space="preserve">recebidos e da contrapartida na forma estabelecida no Capítulo XIV do Decreto n </w:t>
      </w:r>
      <w:r>
        <w:rPr>
          <w:strike/>
        </w:rPr>
        <w:t xml:space="preserve">° </w:t>
      </w:r>
      <w:r>
        <w:t xml:space="preserve"> 127/2011;</w:t>
      </w:r>
    </w:p>
    <w:p w:rsidR="00620004" w:rsidRDefault="00067BF4">
      <w:pPr>
        <w:numPr>
          <w:ilvl w:val="0"/>
          <w:numId w:val="2"/>
        </w:numPr>
        <w:ind w:left="1406" w:hanging="787"/>
      </w:pPr>
      <w:r>
        <w:t xml:space="preserve">enviar as respostas do questionário de avaliação do cumprimento da finalidade do Convênio (Anexo II) no prazo de apresentação da prestação de contas final; </w:t>
      </w:r>
    </w:p>
    <w:p w:rsidR="00620004" w:rsidRDefault="00067BF4">
      <w:pPr>
        <w:numPr>
          <w:ilvl w:val="0"/>
          <w:numId w:val="2"/>
        </w:numPr>
        <w:ind w:left="1406" w:hanging="787"/>
      </w:pPr>
      <w:r>
        <w:t>manter</w:t>
      </w:r>
      <w:r>
        <w:t xml:space="preserve"> arquivada a documentação comprobatória das despesas realizadas, identificada com o número do Convênio, pelo prazo mínimo de 05 (cinco) anos, contados da data da decisão definitiva do Tribunal de Contas do Estado nos processos de prestação ou tomada de con</w:t>
      </w:r>
      <w:r>
        <w:t>tas do ordenador de despesa do concedente, relativa ao exercício da concessão.</w:t>
      </w:r>
    </w:p>
    <w:p w:rsidR="00620004" w:rsidRDefault="00067BF4">
      <w:pPr>
        <w:numPr>
          <w:ilvl w:val="0"/>
          <w:numId w:val="2"/>
        </w:numPr>
        <w:ind w:left="1406" w:hanging="787"/>
      </w:pPr>
      <w:r>
        <w:t xml:space="preserve">incluir regularmente no Módulo de Transferências do SIGEF as informações exigidas pelo Decreto n </w:t>
      </w:r>
      <w:r>
        <w:rPr>
          <w:strike/>
        </w:rPr>
        <w:t xml:space="preserve">° </w:t>
      </w:r>
      <w:r>
        <w:t xml:space="preserve"> 127/2011;</w:t>
      </w:r>
    </w:p>
    <w:p w:rsidR="00620004" w:rsidRDefault="00067BF4">
      <w:pPr>
        <w:numPr>
          <w:ilvl w:val="0"/>
          <w:numId w:val="2"/>
        </w:numPr>
        <w:ind w:left="1406" w:hanging="787"/>
      </w:pPr>
      <w:r>
        <w:t>manter atualizadas as informações do seu cadastro;</w:t>
      </w:r>
    </w:p>
    <w:p w:rsidR="00620004" w:rsidRDefault="00067BF4">
      <w:pPr>
        <w:numPr>
          <w:ilvl w:val="0"/>
          <w:numId w:val="2"/>
        </w:numPr>
        <w:ind w:left="1406" w:hanging="787"/>
      </w:pPr>
      <w:r>
        <w:t>garantir o livre</w:t>
      </w:r>
      <w:r>
        <w:t xml:space="preserve"> acesso, a qualquer tempo, de servidores do concedente e dos órgãos de controle interno e externo quando da realização de fiscalização ou de auditoria, aos registros de todos os atos e fatos relacionados direta ou indiretamente com este Convênio;</w:t>
      </w:r>
    </w:p>
    <w:p w:rsidR="00620004" w:rsidRDefault="00067BF4">
      <w:pPr>
        <w:numPr>
          <w:ilvl w:val="0"/>
          <w:numId w:val="2"/>
        </w:numPr>
        <w:ind w:left="1406" w:hanging="787"/>
      </w:pPr>
      <w:r>
        <w:t>arcar com quaisquer ônus de natureza, fiscal, trabalhista, previdenciária ou social decorrentes da execução deste Convênio;</w:t>
      </w:r>
    </w:p>
    <w:p w:rsidR="00620004" w:rsidRDefault="00067BF4">
      <w:pPr>
        <w:numPr>
          <w:ilvl w:val="0"/>
          <w:numId w:val="2"/>
        </w:numPr>
        <w:ind w:left="1406" w:hanging="787"/>
      </w:pPr>
      <w:r>
        <w:t>garantir que o objeto deste termo atenda prioritariamente a pacientes do Sistema Único de Saúde;</w:t>
      </w:r>
    </w:p>
    <w:p w:rsidR="00620004" w:rsidRDefault="00067BF4">
      <w:pPr>
        <w:numPr>
          <w:ilvl w:val="0"/>
          <w:numId w:val="2"/>
        </w:numPr>
        <w:spacing w:after="46"/>
        <w:ind w:left="1406" w:hanging="787"/>
      </w:pPr>
      <w:r>
        <w:t>garantir atendimento a pacientes do</w:t>
      </w:r>
      <w:r>
        <w:t xml:space="preserve"> Sistema Único de Saúde em todas as </w:t>
      </w:r>
    </w:p>
    <w:p w:rsidR="00620004" w:rsidRDefault="00067BF4">
      <w:pPr>
        <w:ind w:left="1189"/>
      </w:pPr>
      <w:r>
        <w:t xml:space="preserve">especialidades médicas oferecidas pela entidade; </w:t>
      </w:r>
    </w:p>
    <w:p w:rsidR="00620004" w:rsidRDefault="00067BF4">
      <w:pPr>
        <w:numPr>
          <w:ilvl w:val="0"/>
          <w:numId w:val="2"/>
        </w:numPr>
        <w:spacing w:after="566"/>
        <w:ind w:left="1406" w:hanging="787"/>
      </w:pPr>
      <w:r>
        <w:t>prestar assistência médica pelo SUS, em regime de internação hospitalar, ambulatorial, apoio diagnóstico e terapêutico, de caráter eletivo e de urgência/emergência.</w:t>
      </w:r>
    </w:p>
    <w:p w:rsidR="00620004" w:rsidRDefault="00067BF4">
      <w:pPr>
        <w:spacing w:after="562"/>
        <w:ind w:left="454"/>
      </w:pPr>
      <w:r>
        <w:rPr>
          <w:b/>
        </w:rPr>
        <w:t>DA T</w:t>
      </w:r>
      <w:r>
        <w:rPr>
          <w:b/>
        </w:rPr>
        <w:t>RANSFERÊNCIA DOS RECURSOS</w:t>
      </w:r>
    </w:p>
    <w:p w:rsidR="00620004" w:rsidRDefault="00067BF4">
      <w:r>
        <w:lastRenderedPageBreak/>
        <w:t xml:space="preserve">CLÁUSULA SÉTIMA – Os recursos de que trata a CLÁUSULA SEGUNDA serão transferidos à conta específica do Convênio em </w:t>
      </w:r>
      <w:r>
        <w:rPr>
          <w:b/>
        </w:rPr>
        <w:t>parcela única</w:t>
      </w:r>
      <w:r>
        <w:t>, na forma estabelecida no cronograma de desembolso constante do Plano de Trabalho.</w:t>
      </w:r>
    </w:p>
    <w:p w:rsidR="00620004" w:rsidRDefault="00067BF4">
      <w:pPr>
        <w:spacing w:after="401"/>
      </w:pPr>
      <w:r>
        <w:t>SUBCLÁUSULA ÚNICA – Quando a liberação dos recursos ocorrer em 3 (três) ou mais parcelas, a terceira ficará condicionada à aprovação da prestação de contas referente à primeira parcela liberada e assim sucessivamente.</w:t>
      </w:r>
    </w:p>
    <w:p w:rsidR="00620004" w:rsidRDefault="00067BF4">
      <w:pPr>
        <w:spacing w:after="0"/>
      </w:pPr>
      <w:r>
        <w:t>CLÁUSULA OITAVA – É vedado ao conceden</w:t>
      </w:r>
      <w:r>
        <w:t>te repassar recursos fora do prazo de vigência, bem como nas hipóteses de rescisão ou extinção do Convênio.</w:t>
      </w:r>
    </w:p>
    <w:p w:rsidR="00620004" w:rsidRDefault="00067BF4">
      <w:r>
        <w:t>CLÁUSULA NONA – A liberação das parcelas do Convênio será suspensa em caso de descumprimento pelo convenente de qualquer cláusula do Convênio e espe</w:t>
      </w:r>
      <w:r>
        <w:t>cialmente quando constatado:</w:t>
      </w:r>
    </w:p>
    <w:p w:rsidR="00620004" w:rsidRDefault="00067BF4">
      <w:pPr>
        <w:numPr>
          <w:ilvl w:val="0"/>
          <w:numId w:val="3"/>
        </w:numPr>
        <w:ind w:hanging="360"/>
      </w:pPr>
      <w:r>
        <w:t>irregularidade na aplicação dos recursos;</w:t>
      </w:r>
    </w:p>
    <w:p w:rsidR="00620004" w:rsidRDefault="00067BF4">
      <w:pPr>
        <w:numPr>
          <w:ilvl w:val="0"/>
          <w:numId w:val="3"/>
        </w:numPr>
        <w:ind w:hanging="360"/>
      </w:pPr>
      <w:r>
        <w:t>atrasos injustificados no cumprimento das etapas programadas;</w:t>
      </w:r>
    </w:p>
    <w:p w:rsidR="00620004" w:rsidRDefault="00067BF4">
      <w:pPr>
        <w:numPr>
          <w:ilvl w:val="0"/>
          <w:numId w:val="3"/>
        </w:numPr>
        <w:ind w:hanging="360"/>
      </w:pPr>
      <w:r>
        <w:t>desvio de finalidade e do objeto do Convênio;</w:t>
      </w:r>
    </w:p>
    <w:p w:rsidR="00620004" w:rsidRDefault="00067BF4">
      <w:pPr>
        <w:numPr>
          <w:ilvl w:val="0"/>
          <w:numId w:val="3"/>
        </w:numPr>
        <w:spacing w:after="46"/>
        <w:ind w:hanging="360"/>
      </w:pPr>
      <w:r>
        <w:t>ausência de informação dos pagamentos relativos à execução do Convênio, confo</w:t>
      </w:r>
      <w:r>
        <w:t xml:space="preserve">rme o </w:t>
      </w:r>
    </w:p>
    <w:p w:rsidR="00620004" w:rsidRDefault="00067BF4">
      <w:r>
        <w:t xml:space="preserve">Art. 56 do Decreto n </w:t>
      </w:r>
      <w:r>
        <w:rPr>
          <w:strike/>
        </w:rPr>
        <w:t xml:space="preserve">° </w:t>
      </w:r>
      <w:r>
        <w:t xml:space="preserve"> 127/11;</w:t>
      </w:r>
    </w:p>
    <w:p w:rsidR="00620004" w:rsidRDefault="00067BF4">
      <w:pPr>
        <w:numPr>
          <w:ilvl w:val="0"/>
          <w:numId w:val="3"/>
        </w:numPr>
        <w:spacing w:after="566"/>
        <w:ind w:hanging="360"/>
      </w:pPr>
      <w:r>
        <w:t xml:space="preserve">a ocorrência de qualquer circunstância que enseje a instauração de Tomada de Contas Especial, na forma da legislação aplicável à matéria. </w:t>
      </w:r>
    </w:p>
    <w:p w:rsidR="00620004" w:rsidRDefault="00067BF4">
      <w:pPr>
        <w:spacing w:after="562"/>
        <w:ind w:left="454"/>
      </w:pPr>
      <w:r>
        <w:rPr>
          <w:b/>
        </w:rPr>
        <w:t>DA APLICAÇÃO FINANCEIRA DOS RECURSOS</w:t>
      </w:r>
    </w:p>
    <w:p w:rsidR="00620004" w:rsidRDefault="00067BF4">
      <w:r>
        <w:lastRenderedPageBreak/>
        <w:t>CLÁUSULA DÉCIMA – Os recursos, enquanto n</w:t>
      </w:r>
      <w:r>
        <w:t xml:space="preserve">ão empregados na sua finalidade, deverão ser obrigatoriamente aplicados em Fundo de Aplicação de Curto Prazo ou operação de mercado aberto, lastreados em títulos da dívida pública federal, com rentabilidade diária, aplicação e resgate automático. </w:t>
      </w:r>
    </w:p>
    <w:p w:rsidR="00620004" w:rsidRDefault="00067BF4">
      <w:r>
        <w:t>SUBCLÁUSULA PRIMEIRA – As aplicações deverão ser direcionadas para os Fundos de Investimento classificados com Grau de Risco “Muito Baixo”.</w:t>
      </w:r>
    </w:p>
    <w:p w:rsidR="00620004" w:rsidRDefault="00067BF4">
      <w:pPr>
        <w:spacing w:after="566"/>
      </w:pPr>
      <w:r>
        <w:t>SUBCLÁUSULA SEGUNDA – Os rendimentos da aplicação financeira deverão ser devolvidos ou aplicados no objeto deste Con</w:t>
      </w:r>
      <w:r>
        <w:t>vênio e estão sujeitos às mesmas condições de prestação de contas exigidas para os recursos transferidos.</w:t>
      </w:r>
    </w:p>
    <w:p w:rsidR="00620004" w:rsidRDefault="00067BF4">
      <w:pPr>
        <w:spacing w:after="401"/>
        <w:ind w:left="454"/>
      </w:pPr>
      <w:r>
        <w:rPr>
          <w:b/>
        </w:rPr>
        <w:t>DAS VEDAÇÕES</w:t>
      </w:r>
    </w:p>
    <w:p w:rsidR="00620004" w:rsidRDefault="00067BF4">
      <w:r>
        <w:t>CLÁUSULA DÉCIMA PRIMEIRA – O Convênio deverá ser executado em estrita observância às cláusulas avençadas e às normas pertinentes, sendo v</w:t>
      </w:r>
      <w:r>
        <w:t>edado ao convenente: I. alterar o objeto do Convênio;</w:t>
      </w:r>
    </w:p>
    <w:p w:rsidR="00620004" w:rsidRDefault="00067BF4">
      <w:pPr>
        <w:numPr>
          <w:ilvl w:val="0"/>
          <w:numId w:val="4"/>
        </w:numPr>
        <w:ind w:hanging="653"/>
      </w:pPr>
      <w:r>
        <w:t>realizar despesas a título de taxa de administração, de gerência ou similar;</w:t>
      </w:r>
    </w:p>
    <w:p w:rsidR="00620004" w:rsidRDefault="00067BF4">
      <w:pPr>
        <w:numPr>
          <w:ilvl w:val="0"/>
          <w:numId w:val="4"/>
        </w:numPr>
        <w:ind w:hanging="653"/>
      </w:pPr>
      <w:r>
        <w:t>o pagamento, inclusive com os recursos da contrapartida, de gratificação, serviços de consultoria, assistência técnica e cong</w:t>
      </w:r>
      <w:r>
        <w:t>êneres a servidor ou empregado que pertença aos quadros de pessoal do concedente e do convenente;</w:t>
      </w:r>
    </w:p>
    <w:p w:rsidR="00620004" w:rsidRDefault="00067BF4">
      <w:pPr>
        <w:numPr>
          <w:ilvl w:val="0"/>
          <w:numId w:val="4"/>
        </w:numPr>
        <w:ind w:hanging="653"/>
      </w:pPr>
      <w:r>
        <w:t>utilizar os recursos em desacordo com o previsto no plano de trabalho, ainda que em caráter de emergência;</w:t>
      </w:r>
    </w:p>
    <w:p w:rsidR="00620004" w:rsidRDefault="00067BF4">
      <w:pPr>
        <w:numPr>
          <w:ilvl w:val="0"/>
          <w:numId w:val="4"/>
        </w:numPr>
        <w:spacing w:after="0"/>
        <w:ind w:hanging="653"/>
      </w:pPr>
      <w:r>
        <w:t>realizar despesas em data anterior ou posterior à v</w:t>
      </w:r>
      <w:r>
        <w:t xml:space="preserve">igência do Convênio; </w:t>
      </w:r>
    </w:p>
    <w:p w:rsidR="00620004" w:rsidRDefault="00067BF4">
      <w:pPr>
        <w:numPr>
          <w:ilvl w:val="0"/>
          <w:numId w:val="4"/>
        </w:numPr>
        <w:ind w:hanging="653"/>
      </w:pPr>
      <w:r>
        <w:t>o pagamento a fornecedor em data posterior à vigência do instrumento, salvo se expressamente autorizado pelo concedente e desde que o fato gerador da despesa tenha ocorrido durante a vigência do instrumento;</w:t>
      </w:r>
    </w:p>
    <w:p w:rsidR="00620004" w:rsidRDefault="00067BF4">
      <w:pPr>
        <w:numPr>
          <w:ilvl w:val="0"/>
          <w:numId w:val="4"/>
        </w:numPr>
        <w:ind w:hanging="653"/>
      </w:pPr>
      <w:r>
        <w:t>multas, juros, inclusive r</w:t>
      </w:r>
      <w:r>
        <w:t>eferentes a pagamentos ou recolhimentos fora dos prazos;</w:t>
      </w:r>
    </w:p>
    <w:p w:rsidR="00620004" w:rsidRDefault="00067BF4">
      <w:pPr>
        <w:numPr>
          <w:ilvl w:val="0"/>
          <w:numId w:val="4"/>
        </w:numPr>
        <w:ind w:hanging="653"/>
      </w:pPr>
      <w:r>
        <w:lastRenderedPageBreak/>
        <w:t>movimentar a conta corrente por meio de cheques, utilizar o cartão magnético nas funções crédito ou débito, e efetuar saques;</w:t>
      </w:r>
    </w:p>
    <w:p w:rsidR="00620004" w:rsidRDefault="00067BF4">
      <w:pPr>
        <w:numPr>
          <w:ilvl w:val="0"/>
          <w:numId w:val="4"/>
        </w:numPr>
        <w:ind w:hanging="653"/>
      </w:pPr>
      <w:r>
        <w:t>realizar despesas com publicidade, salvo as de caráter educativo, informa</w:t>
      </w:r>
      <w:r>
        <w:t>tivo ou de orientação social, da qual não constem nomes, símbolos ou imagens que caracterizem promoção pessoal;</w:t>
      </w:r>
    </w:p>
    <w:p w:rsidR="00620004" w:rsidRDefault="00067BF4">
      <w:pPr>
        <w:numPr>
          <w:ilvl w:val="0"/>
          <w:numId w:val="4"/>
        </w:numPr>
        <w:ind w:hanging="653"/>
      </w:pPr>
      <w:r>
        <w:t>o pagamento de despesas com pessoal ativo, inativo ou pensionista do convenente com os recursos do Convênio, quando o convenente for ente da fed</w:t>
      </w:r>
      <w:r>
        <w:t>eração.</w:t>
      </w:r>
    </w:p>
    <w:p w:rsidR="00620004" w:rsidRDefault="00067BF4">
      <w:pPr>
        <w:numPr>
          <w:ilvl w:val="0"/>
          <w:numId w:val="4"/>
        </w:numPr>
        <w:ind w:hanging="653"/>
      </w:pPr>
      <w:r>
        <w:t>repassar os recursos recebidos a outras entidades de direito público ou privado;</w:t>
      </w:r>
    </w:p>
    <w:p w:rsidR="00620004" w:rsidRDefault="00067BF4">
      <w:pPr>
        <w:spacing w:after="566"/>
      </w:pPr>
      <w:r>
        <w:t>SUBCLÁUSULA ÚNICA – Não constitui alteração do objeto a ampliação ou redução dos quantitativos previstos no Plano de Trabalho, desde que não prejudique a funcionalidad</w:t>
      </w:r>
      <w:r>
        <w:t>e do objeto e seja autorizado pelo concedente.</w:t>
      </w:r>
    </w:p>
    <w:p w:rsidR="00620004" w:rsidRDefault="00067BF4">
      <w:pPr>
        <w:spacing w:after="401"/>
        <w:ind w:left="454"/>
      </w:pPr>
      <w:r>
        <w:rPr>
          <w:b/>
        </w:rPr>
        <w:t>DA PRESTAÇÃO DE CONTAS</w:t>
      </w:r>
    </w:p>
    <w:p w:rsidR="00620004" w:rsidRDefault="00067BF4">
      <w:r>
        <w:t>CLÁUSULA DÉCIMA SEGUNDA – O Convenente fica obrigado a informar no Módulo de Transferências do SIGEF as despesas realizadas, na forma do art. 56 do Decreto nº 127/11, e apresentar a pres</w:t>
      </w:r>
      <w:r>
        <w:t>tação de contas na forma dos artigos 63 a 64 do Decreto nº 127/11.</w:t>
      </w:r>
    </w:p>
    <w:p w:rsidR="00620004" w:rsidRDefault="00067BF4">
      <w:pPr>
        <w:spacing w:after="562"/>
      </w:pPr>
      <w:r>
        <w:t>SUBCLÁUSULA ÚNICA – Fica vedado ao convenente não pertencente à administração pública registrar no Sistema Integrado de Planejamento e Gestão Fiscal (SIGEF) as despesas com folha de pagamen</w:t>
      </w:r>
      <w:r>
        <w:t>to contendo identificação dos empregados (indicação de nome ou CPF); o cadastro dessas despesas poderá conter o valor global pago a título de despesas com folha de pagamento, ou ainda, os valores pagos a cada empregado sem indicação de nome ou CPF, sendo d</w:t>
      </w:r>
      <w:r>
        <w:t>e sua exclusiva responsabilidade eventual dano causado pela violação da intimidade e da vida privada de seus empregados, caso as informações inseridas no SIGEF sejam disponibilizadas ao público em geral.</w:t>
      </w:r>
    </w:p>
    <w:p w:rsidR="00620004" w:rsidRDefault="00067BF4">
      <w:r>
        <w:lastRenderedPageBreak/>
        <w:t>CLÁUSULA DÉCIMA TERCEIRA – O convenente fica obrigad</w:t>
      </w:r>
      <w:r>
        <w:t xml:space="preserve">o a apresentar a prestação de contas final, no prazo máximo de 30 (trinta) dias, contados do término da vigência do Convênio, conforme Artigo 65 do Decreto n </w:t>
      </w:r>
      <w:r>
        <w:rPr>
          <w:strike/>
        </w:rPr>
        <w:t xml:space="preserve">° </w:t>
      </w:r>
      <w:r>
        <w:t xml:space="preserve"> 127/11.</w:t>
      </w:r>
    </w:p>
    <w:p w:rsidR="00620004" w:rsidRDefault="00067BF4">
      <w:pPr>
        <w:spacing w:after="0"/>
      </w:pPr>
      <w:r>
        <w:t>SUBCLÁUSULA ÚNICA – O convenente deverá enviar as respostas do questionário de avaliaçã</w:t>
      </w:r>
      <w:r>
        <w:t>o do cumprimento da finalidade do Convênio (Anexo II) no prazo de apresentação da prestação de contas final;</w:t>
      </w:r>
    </w:p>
    <w:p w:rsidR="00620004" w:rsidRDefault="00067BF4">
      <w:pPr>
        <w:spacing w:after="562"/>
        <w:ind w:left="454"/>
      </w:pPr>
      <w:r>
        <w:rPr>
          <w:b/>
        </w:rPr>
        <w:t>DA FISCALIZAÇÃO DOS RECURSOS</w:t>
      </w:r>
    </w:p>
    <w:p w:rsidR="00620004" w:rsidRDefault="00067BF4">
      <w:r>
        <w:t>CLÁUSULA DÉCIMA QUARTA – O concedente, por meio da Superintendência de Serviços Especializados e Regulação – SUR/ Dire</w:t>
      </w:r>
      <w:r>
        <w:t>toria de Articulação Regional – DIAR, deverá acompanhar e fiscalizar a execução do Convênio de forma a verificar a regularidade dos atos praticados e a execução do objeto, conforme o Plano de Trabalho.</w:t>
      </w:r>
    </w:p>
    <w:p w:rsidR="00620004" w:rsidRDefault="00067BF4">
      <w:pPr>
        <w:spacing w:after="562"/>
      </w:pPr>
      <w:r>
        <w:t>SUBCLÁUSULA ÚNICA – Quando o Convênio envolver a aquis</w:t>
      </w:r>
      <w:r>
        <w:t xml:space="preserve">ição de bens ou a prestação de serviços em valores superiores a R$ 80.000,00 (oitenta mil reais) o concedente, deverá obrigatoriamente realizar fiscalização </w:t>
      </w:r>
      <w:r>
        <w:rPr>
          <w:i/>
        </w:rPr>
        <w:t>in loco</w:t>
      </w:r>
      <w:r>
        <w:t xml:space="preserve"> a fim de aferir a regularidade na execução do objeto pactuado.</w:t>
      </w:r>
    </w:p>
    <w:p w:rsidR="00620004" w:rsidRDefault="00067BF4">
      <w:pPr>
        <w:spacing w:after="562"/>
      </w:pPr>
      <w:r>
        <w:t xml:space="preserve">CLÁUSULA DÉCIMA QUINTA – O concedente, por meio da Superintendência de Serviços Especializados e Regulação – SUR/ Diretoria de Articulação Regional – DIAR deverá registrar no SIGEF o acompanhamento e a fiscalização da execução do objeto do Convênio. </w:t>
      </w:r>
    </w:p>
    <w:p w:rsidR="00620004" w:rsidRDefault="00067BF4">
      <w:pPr>
        <w:spacing w:after="566"/>
      </w:pPr>
      <w:r>
        <w:t>CLÁUS</w:t>
      </w:r>
      <w:r>
        <w:t xml:space="preserve">ULA DÉCIMA SEXTA – Os recursos liberados por meio deste Convênio estarão sujeitos a procedimentos de fiscalização </w:t>
      </w:r>
      <w:r>
        <w:rPr>
          <w:i/>
        </w:rPr>
        <w:t>in loco</w:t>
      </w:r>
      <w:r>
        <w:t xml:space="preserve"> por parte do concedente, pela Diretoria de Auditoria Geral da Secretaria de Estado da Fazenda e pelo Tribunal de Contas do Estado de S</w:t>
      </w:r>
      <w:r>
        <w:t>anta Catarina.</w:t>
      </w:r>
    </w:p>
    <w:p w:rsidR="00620004" w:rsidRDefault="00067BF4">
      <w:pPr>
        <w:spacing w:after="562"/>
        <w:ind w:left="454"/>
      </w:pPr>
      <w:r>
        <w:rPr>
          <w:b/>
        </w:rPr>
        <w:lastRenderedPageBreak/>
        <w:t>DAS ALTERAÇÕES</w:t>
      </w:r>
    </w:p>
    <w:p w:rsidR="00620004" w:rsidRDefault="00067BF4">
      <w:r>
        <w:t xml:space="preserve">CLÁUSULA DÉCIMA SÉTIMA – Este Convênio poderá sofrer alterações por meio de termo aditivo ou, nas hipóteses previstas no art. 43 do Decreto nº 127/11, por apostilamento. </w:t>
      </w:r>
    </w:p>
    <w:p w:rsidR="00620004" w:rsidRDefault="00067BF4">
      <w:pPr>
        <w:spacing w:after="562"/>
      </w:pPr>
      <w:r>
        <w:t>SUBCLÁUSULA ÚNICA – As alterações deverão ser propostas</w:t>
      </w:r>
      <w:r>
        <w:t>, no prazo mínimo de 30 ( trinta) dias que anteceder o término da vigência do Convênio.</w:t>
      </w:r>
    </w:p>
    <w:p w:rsidR="00620004" w:rsidRDefault="00067BF4">
      <w:pPr>
        <w:spacing w:after="566"/>
      </w:pPr>
      <w:r>
        <w:t>CLÁUSULA DÉCIMA OITAVA – As alterações de valor estão sujeitas aos limites previstos no § 1º do art. 65 da Lei federal nº 8.666, de 21 de junho de 1993, bem como à auto</w:t>
      </w:r>
      <w:r>
        <w:t>rização pela Secretaria de Estado da Casa Civil – SCC.</w:t>
      </w:r>
    </w:p>
    <w:p w:rsidR="00620004" w:rsidRDefault="00067BF4">
      <w:pPr>
        <w:spacing w:after="562"/>
        <w:ind w:left="454"/>
      </w:pPr>
      <w:r>
        <w:rPr>
          <w:b/>
        </w:rPr>
        <w:t>DA ASSUNÇÃO DO OBJETO PELO CONCEDENTE</w:t>
      </w:r>
    </w:p>
    <w:p w:rsidR="00620004" w:rsidRDefault="00067BF4">
      <w:pPr>
        <w:spacing w:after="566"/>
      </w:pPr>
      <w:r>
        <w:t>CLÁUSULA DÉCIMA NONA – Ocorrendo a paralisação da execução do objeto ou outro fato relevante a critério do concedente, este poderá assumir ou transferir a responsabilidade por sua execução, sem prejuízo das penalidades a serem imputadas ao convenente decor</w:t>
      </w:r>
      <w:r>
        <w:t>rentes do descumprimento parcial ou total deste Convênio, de modo a evitar sua descontinuidade.</w:t>
      </w:r>
    </w:p>
    <w:p w:rsidR="00620004" w:rsidRDefault="00067BF4">
      <w:pPr>
        <w:spacing w:after="401"/>
        <w:ind w:left="454"/>
      </w:pPr>
      <w:r>
        <w:rPr>
          <w:b/>
        </w:rPr>
        <w:t>DA DEVOLUÇÃO DOS RECURSOS E DA PENALIDADE</w:t>
      </w:r>
    </w:p>
    <w:p w:rsidR="00620004" w:rsidRDefault="00067BF4">
      <w:pPr>
        <w:spacing w:after="401"/>
      </w:pPr>
      <w:r>
        <w:lastRenderedPageBreak/>
        <w:t>CLÁUSULA VIGÉSIMA – Os saldos financeiros remanescentes, inclusive os provenientes das receitas obtidas nas aplicações</w:t>
      </w:r>
      <w:r>
        <w:t xml:space="preserve"> financeiras, não aplicados no objeto pactuado, deverão ser devolvidos pelo convenente, devendo a restituição ser comprovada na prestação de contas final.</w:t>
      </w:r>
    </w:p>
    <w:p w:rsidR="00620004" w:rsidRDefault="00067BF4">
      <w:r>
        <w:t>CLÁUSULA VIGÉSIMA PRIMEIRA – O convenente deverá restituir ao concedente, atualizado monetariamente d</w:t>
      </w:r>
      <w:r>
        <w:t>esde a data do recebimento pelo Índice Nacional de Preços ao Consumidor (INPC), e acrescido de juros de mora de 1% (um por cento) ao mês desde a data do inadimplemento:</w:t>
      </w:r>
    </w:p>
    <w:p w:rsidR="00620004" w:rsidRDefault="00067BF4">
      <w:pPr>
        <w:numPr>
          <w:ilvl w:val="0"/>
          <w:numId w:val="5"/>
        </w:numPr>
        <w:spacing w:after="46"/>
        <w:ind w:hanging="400"/>
      </w:pPr>
      <w:r>
        <w:t>o valor integral dos recursos transferidos, quando:</w:t>
      </w:r>
    </w:p>
    <w:p w:rsidR="00620004" w:rsidRDefault="00067BF4">
      <w:pPr>
        <w:numPr>
          <w:ilvl w:val="1"/>
          <w:numId w:val="5"/>
        </w:numPr>
        <w:spacing w:after="46"/>
        <w:ind w:hanging="420"/>
      </w:pPr>
      <w:r>
        <w:t>não executado o objeto conveniado;</w:t>
      </w:r>
    </w:p>
    <w:p w:rsidR="00620004" w:rsidRDefault="00067BF4">
      <w:pPr>
        <w:numPr>
          <w:ilvl w:val="1"/>
          <w:numId w:val="5"/>
        </w:numPr>
        <w:spacing w:after="46"/>
        <w:ind w:hanging="420"/>
      </w:pPr>
      <w:r>
        <w:t>não atingida sua finalidade; ou</w:t>
      </w:r>
    </w:p>
    <w:p w:rsidR="00620004" w:rsidRDefault="00067BF4">
      <w:pPr>
        <w:numPr>
          <w:ilvl w:val="1"/>
          <w:numId w:val="5"/>
        </w:numPr>
        <w:spacing w:after="322"/>
        <w:ind w:hanging="420"/>
      </w:pPr>
      <w:r>
        <w:t>não apresentada a prestação de contas;</w:t>
      </w:r>
    </w:p>
    <w:p w:rsidR="00620004" w:rsidRDefault="00067BF4">
      <w:pPr>
        <w:numPr>
          <w:ilvl w:val="0"/>
          <w:numId w:val="5"/>
        </w:numPr>
        <w:spacing w:after="46"/>
        <w:ind w:hanging="400"/>
      </w:pPr>
      <w:r>
        <w:t>o recurso, quando:</w:t>
      </w:r>
    </w:p>
    <w:p w:rsidR="00620004" w:rsidRDefault="00067BF4">
      <w:pPr>
        <w:numPr>
          <w:ilvl w:val="1"/>
          <w:numId w:val="5"/>
        </w:numPr>
        <w:spacing w:after="46"/>
        <w:ind w:hanging="420"/>
      </w:pPr>
      <w:r>
        <w:t xml:space="preserve">utilizado em desacordo com o previsto no convênio; </w:t>
      </w:r>
    </w:p>
    <w:p w:rsidR="00620004" w:rsidRDefault="00067BF4">
      <w:pPr>
        <w:numPr>
          <w:ilvl w:val="1"/>
          <w:numId w:val="5"/>
        </w:numPr>
        <w:spacing w:after="46"/>
        <w:ind w:hanging="420"/>
      </w:pPr>
      <w:r>
        <w:t>apurada e constatada irregularidade; ou</w:t>
      </w:r>
    </w:p>
    <w:p w:rsidR="00620004" w:rsidRDefault="00067BF4">
      <w:pPr>
        <w:numPr>
          <w:ilvl w:val="1"/>
          <w:numId w:val="5"/>
        </w:numPr>
        <w:spacing w:after="401"/>
        <w:ind w:hanging="420"/>
      </w:pPr>
      <w:r>
        <w:t xml:space="preserve">não comprovada sua regular aplicação. </w:t>
      </w:r>
    </w:p>
    <w:p w:rsidR="00620004" w:rsidRDefault="00067BF4">
      <w:pPr>
        <w:spacing w:after="566"/>
      </w:pPr>
      <w:r>
        <w:t>CLÁUSULA VIGÉSIMA SEGUNDA – Os valo</w:t>
      </w:r>
      <w:r>
        <w:t>res deverão ser devolvidos à conta n</w:t>
      </w:r>
      <w:r>
        <w:rPr>
          <w:strike/>
        </w:rPr>
        <w:t>°</w:t>
      </w:r>
      <w:r>
        <w:t xml:space="preserve"> 908.400-2 , agência n </w:t>
      </w:r>
      <w:r>
        <w:rPr>
          <w:strike/>
        </w:rPr>
        <w:t xml:space="preserve">° </w:t>
      </w:r>
      <w:r>
        <w:t xml:space="preserve"> 3582-3 do Banco do Brasil.</w:t>
      </w:r>
    </w:p>
    <w:p w:rsidR="00620004" w:rsidRDefault="00067BF4">
      <w:pPr>
        <w:spacing w:after="170"/>
        <w:ind w:left="454"/>
      </w:pPr>
      <w:r>
        <w:rPr>
          <w:b/>
        </w:rPr>
        <w:t>DA APURAÇÃO DE IRREGULARIDADE NAS PRESTAÇÕES DE CONTAS E</w:t>
      </w:r>
    </w:p>
    <w:p w:rsidR="00620004" w:rsidRDefault="00067BF4">
      <w:pPr>
        <w:spacing w:after="562"/>
        <w:ind w:left="454"/>
      </w:pPr>
      <w:r>
        <w:rPr>
          <w:b/>
        </w:rPr>
        <w:lastRenderedPageBreak/>
        <w:t>DA TOMADA DE CONTAS ESPECIAL</w:t>
      </w:r>
    </w:p>
    <w:p w:rsidR="00620004" w:rsidRDefault="00067BF4">
      <w:pPr>
        <w:spacing w:after="562"/>
      </w:pPr>
      <w:r>
        <w:t>CLÁUSULA VIGÉSIMA TERCEIRA – A omissão no dever de prestar contas sujeita o convenente ao procedimento de Tomada de Contas Especial para ressarcimento dos valores repassados e julgamento pelo Tribunal de Contas, sem prejuízo das demais penalidades legais c</w:t>
      </w:r>
      <w:r>
        <w:t>abíveis.</w:t>
      </w:r>
    </w:p>
    <w:p w:rsidR="00620004" w:rsidRDefault="00067BF4">
      <w:pPr>
        <w:spacing w:after="0"/>
      </w:pPr>
      <w:r>
        <w:t>CLÁUSULA VIGÉSIMA QUARTA – Irregularidade na prestação de contas que importe dano ao erário sujeita o convenente a procedimento administrativo próprio para ressarcimento dos valores repassados e a julgamento pelo Tribunal de Contas, sem prejuízo d</w:t>
      </w:r>
      <w:r>
        <w:t>as demais penalidades legais cabíveis.</w:t>
      </w:r>
    </w:p>
    <w:p w:rsidR="00620004" w:rsidRDefault="00067BF4">
      <w:pPr>
        <w:spacing w:after="562"/>
        <w:ind w:left="454"/>
      </w:pPr>
      <w:r>
        <w:rPr>
          <w:b/>
        </w:rPr>
        <w:t>DA DENÚNCIA</w:t>
      </w:r>
    </w:p>
    <w:p w:rsidR="00620004" w:rsidRDefault="00067BF4">
      <w:pPr>
        <w:spacing w:after="566"/>
      </w:pPr>
      <w:r>
        <w:t>CLÁUSULA VIGÉSIMA QUINTA – Este Convênio poderá ser denunciado, formal e expressamente, a qualquer momento, por qualquer dos partícipes, o que implicará a sua extinção antecipada, não os eximindo das respo</w:t>
      </w:r>
      <w:r>
        <w:t xml:space="preserve">nsabilidades e das obrigações originadas no período de vigência deste Convênio. </w:t>
      </w:r>
    </w:p>
    <w:p w:rsidR="00620004" w:rsidRDefault="00067BF4">
      <w:pPr>
        <w:spacing w:after="562"/>
        <w:ind w:left="454"/>
      </w:pPr>
      <w:r>
        <w:rPr>
          <w:b/>
        </w:rPr>
        <w:t>DA RESCISÃO E DA EXTINÇÃO</w:t>
      </w:r>
    </w:p>
    <w:p w:rsidR="00620004" w:rsidRDefault="00067BF4">
      <w:r>
        <w:t>CLÁUSULA VIGÉSIMA SEXTA – A rescisão deste Convênio ocorrerá nas seguintes situações:</w:t>
      </w:r>
    </w:p>
    <w:p w:rsidR="00620004" w:rsidRDefault="00067BF4">
      <w:pPr>
        <w:numPr>
          <w:ilvl w:val="0"/>
          <w:numId w:val="6"/>
        </w:numPr>
        <w:ind w:left="665" w:hanging="220"/>
      </w:pPr>
      <w:r>
        <w:t xml:space="preserve">– o inadimplemento de quaisquer de suas cláusulas; </w:t>
      </w:r>
    </w:p>
    <w:p w:rsidR="00620004" w:rsidRDefault="00067BF4">
      <w:pPr>
        <w:numPr>
          <w:ilvl w:val="0"/>
          <w:numId w:val="6"/>
        </w:numPr>
        <w:ind w:left="665" w:hanging="220"/>
      </w:pPr>
      <w:r>
        <w:t>– falsidade</w:t>
      </w:r>
      <w:r>
        <w:t xml:space="preserve"> ou incorreção de informação em qualquer documento apresentado; e</w:t>
      </w:r>
    </w:p>
    <w:p w:rsidR="00620004" w:rsidRDefault="00067BF4">
      <w:pPr>
        <w:numPr>
          <w:ilvl w:val="0"/>
          <w:numId w:val="6"/>
        </w:numPr>
        <w:spacing w:after="562"/>
        <w:ind w:left="665" w:hanging="220"/>
      </w:pPr>
      <w:r>
        <w:lastRenderedPageBreak/>
        <w:t>– circunstância que enseje a instauração de Tomada de Contas Especial, na forma da legislação vigente.</w:t>
      </w:r>
    </w:p>
    <w:p w:rsidR="00620004" w:rsidRDefault="00067BF4">
      <w:pPr>
        <w:spacing w:after="566"/>
      </w:pPr>
      <w:r>
        <w:t>CLÁUSULA VIGÉSIMA SÉTIMA – Quando da extinção do convênio, os saldos financeiros remane</w:t>
      </w:r>
      <w:r>
        <w:t>scentes, inclusive os provenientes das receitas obtidas das aplicações financeiras realizadas, serão devolvidos à entidade ou ao órgão repassador dos recursos no prazo improrrogável de 30 (trinta) dias do evento.</w:t>
      </w:r>
    </w:p>
    <w:p w:rsidR="00620004" w:rsidRDefault="00067BF4">
      <w:pPr>
        <w:spacing w:after="562"/>
        <w:ind w:left="454"/>
      </w:pPr>
      <w:r>
        <w:rPr>
          <w:b/>
        </w:rPr>
        <w:t>DA PUBLICAÇÃO</w:t>
      </w:r>
    </w:p>
    <w:p w:rsidR="00620004" w:rsidRDefault="00067BF4">
      <w:pPr>
        <w:spacing w:after="566"/>
      </w:pPr>
      <w:r>
        <w:t>CLÁUSULA VIGÉSIMA OITAVA – Es</w:t>
      </w:r>
      <w:r>
        <w:t>te Convênio, bem como seus eventuais Termos Aditivos serão publicados em extrato no Diário Oficial do Estado, no prazo de até 20 (vinte) dias, contados da sua assinatura.</w:t>
      </w:r>
    </w:p>
    <w:p w:rsidR="00620004" w:rsidRDefault="00067BF4">
      <w:pPr>
        <w:spacing w:after="562"/>
        <w:ind w:left="454"/>
      </w:pPr>
      <w:r>
        <w:rPr>
          <w:b/>
        </w:rPr>
        <w:t>DA VIGÊNCIA</w:t>
      </w:r>
    </w:p>
    <w:p w:rsidR="00620004" w:rsidRDefault="00067BF4">
      <w:pPr>
        <w:spacing w:after="0"/>
      </w:pPr>
      <w:r>
        <w:t>CLÁUSULA VIGÉSIMA NONA – Este Convênio terá início de vigência a partir d</w:t>
      </w:r>
      <w:r>
        <w:t>a data de sua publicação no Diário Oficial do Estado e fim de vigência em 31 de dezembro de 2021.</w:t>
      </w:r>
    </w:p>
    <w:p w:rsidR="00620004" w:rsidRDefault="00067BF4">
      <w:pPr>
        <w:spacing w:after="562"/>
        <w:ind w:left="454"/>
      </w:pPr>
      <w:r>
        <w:rPr>
          <w:b/>
        </w:rPr>
        <w:t>DO FORO</w:t>
      </w:r>
    </w:p>
    <w:p w:rsidR="00620004" w:rsidRDefault="00067BF4">
      <w:pPr>
        <w:spacing w:after="470"/>
      </w:pPr>
      <w:r>
        <w:t>CLÁUSULA TRIGÉSIMA – As questões decorrentes da execução deste Convênio, não dirimidas administrativamente, serão processadas e julgadas no Foro da Co</w:t>
      </w:r>
      <w:r>
        <w:t>marca de Florianópolis.</w:t>
      </w:r>
    </w:p>
    <w:p w:rsidR="00620004" w:rsidRDefault="00067BF4">
      <w:pPr>
        <w:spacing w:after="562"/>
      </w:pPr>
      <w:r>
        <w:lastRenderedPageBreak/>
        <w:t>E, por estarem as partes de pleno acordo, assinam este instrumento, perante as testemunhas que também o subscrevem, para que produza seus efeitos legais.</w:t>
      </w:r>
    </w:p>
    <w:p w:rsidR="00620004" w:rsidRDefault="00067BF4">
      <w:pPr>
        <w:spacing w:after="2731" w:line="240" w:lineRule="auto"/>
        <w:ind w:left="0" w:firstLine="0"/>
        <w:jc w:val="right"/>
      </w:pPr>
      <w:r>
        <w:t>Florianópolis, 19 de maio de 2021.</w:t>
      </w:r>
    </w:p>
    <w:p w:rsidR="00620004" w:rsidRDefault="00067BF4">
      <w:pPr>
        <w:spacing w:after="44" w:line="240" w:lineRule="auto"/>
        <w:ind w:left="0" w:firstLine="0"/>
        <w:jc w:val="center"/>
      </w:pPr>
      <w:r>
        <w:rPr>
          <w:b/>
          <w:sz w:val="22"/>
        </w:rPr>
        <w:t>ANDRÉ MOTTA RIBEIRO</w:t>
      </w:r>
      <w:r>
        <w:rPr>
          <w:b/>
          <w:sz w:val="22"/>
        </w:rPr>
        <w:tab/>
        <w:t>JOÃO LUIZ DE ANDRADE</w:t>
      </w:r>
    </w:p>
    <w:p w:rsidR="00620004" w:rsidRDefault="00067BF4">
      <w:pPr>
        <w:spacing w:after="39" w:line="246" w:lineRule="auto"/>
        <w:ind w:left="287" w:right="-15"/>
        <w:jc w:val="left"/>
      </w:pPr>
      <w:r>
        <w:rPr>
          <w:b/>
          <w:sz w:val="22"/>
        </w:rPr>
        <w:t>SECRETÁRIO DE ESTADO DA SAÚDE</w:t>
      </w:r>
      <w:r>
        <w:rPr>
          <w:b/>
          <w:sz w:val="22"/>
        </w:rPr>
        <w:tab/>
        <w:t xml:space="preserve">PRESIDENTE DO CONSÓRCIO </w:t>
      </w:r>
    </w:p>
    <w:p w:rsidR="00620004" w:rsidRDefault="00067BF4">
      <w:pPr>
        <w:spacing w:after="803" w:line="246" w:lineRule="auto"/>
        <w:ind w:left="1270" w:right="-15"/>
        <w:jc w:val="left"/>
      </w:pPr>
      <w:r>
        <w:rPr>
          <w:b/>
          <w:sz w:val="20"/>
        </w:rPr>
        <w:t>( assinado digitalmente )</w:t>
      </w:r>
    </w:p>
    <w:p w:rsidR="00620004" w:rsidRDefault="00067BF4">
      <w:pPr>
        <w:spacing w:after="284"/>
        <w:ind w:left="43"/>
      </w:pPr>
      <w:r>
        <w:rPr>
          <w:b/>
        </w:rPr>
        <w:t>TESTEMUNHAS:</w:t>
      </w:r>
      <w:r>
        <w:t xml:space="preserve"> </w:t>
      </w:r>
    </w:p>
    <w:p w:rsidR="00620004" w:rsidRDefault="00067BF4">
      <w:pPr>
        <w:spacing w:after="279" w:line="246" w:lineRule="auto"/>
        <w:ind w:left="-5" w:right="-15"/>
        <w:jc w:val="left"/>
      </w:pPr>
      <w:r>
        <w:rPr>
          <w:b/>
          <w:sz w:val="22"/>
        </w:rPr>
        <w:t>_________________________________________</w:t>
      </w:r>
      <w:r>
        <w:rPr>
          <w:b/>
          <w:sz w:val="22"/>
        </w:rPr>
        <w:tab/>
        <w:t>_________________________________________</w:t>
      </w:r>
    </w:p>
    <w:p w:rsidR="00620004" w:rsidRDefault="00067BF4">
      <w:pPr>
        <w:spacing w:after="39" w:line="246" w:lineRule="auto"/>
        <w:ind w:left="-5" w:right="-15"/>
        <w:jc w:val="left"/>
      </w:pPr>
      <w:r>
        <w:rPr>
          <w:b/>
          <w:sz w:val="20"/>
        </w:rPr>
        <w:t xml:space="preserve">NOME: </w:t>
      </w:r>
      <w:r>
        <w:rPr>
          <w:b/>
          <w:sz w:val="20"/>
        </w:rPr>
        <w:tab/>
        <w:t xml:space="preserve">NOME: </w:t>
      </w:r>
    </w:p>
    <w:p w:rsidR="00620004" w:rsidRDefault="00067BF4">
      <w:pPr>
        <w:spacing w:after="279" w:line="246" w:lineRule="auto"/>
        <w:ind w:left="-5" w:right="-15"/>
        <w:jc w:val="left"/>
      </w:pPr>
      <w:r>
        <w:rPr>
          <w:b/>
          <w:sz w:val="20"/>
        </w:rPr>
        <w:t>_____________________________________________</w:t>
      </w:r>
      <w:r>
        <w:rPr>
          <w:b/>
          <w:sz w:val="20"/>
        </w:rPr>
        <w:tab/>
        <w:t>_________________</w:t>
      </w:r>
      <w:r>
        <w:rPr>
          <w:b/>
          <w:sz w:val="20"/>
        </w:rPr>
        <w:t>____________________________</w:t>
      </w:r>
    </w:p>
    <w:p w:rsidR="00620004" w:rsidRDefault="00067BF4">
      <w:pPr>
        <w:spacing w:after="39" w:line="246" w:lineRule="auto"/>
        <w:ind w:left="-5" w:right="-15"/>
        <w:jc w:val="left"/>
      </w:pPr>
      <w:r>
        <w:rPr>
          <w:b/>
          <w:sz w:val="20"/>
        </w:rPr>
        <w:lastRenderedPageBreak/>
        <w:t xml:space="preserve">CPF: </w:t>
      </w:r>
      <w:r>
        <w:rPr>
          <w:b/>
          <w:sz w:val="20"/>
        </w:rPr>
        <w:tab/>
        <w:t xml:space="preserve">CPF: </w:t>
      </w:r>
    </w:p>
    <w:p w:rsidR="00620004" w:rsidRDefault="00067BF4">
      <w:pPr>
        <w:spacing w:after="39" w:line="246" w:lineRule="auto"/>
        <w:ind w:left="-5" w:right="-15"/>
        <w:jc w:val="left"/>
      </w:pPr>
      <w:r>
        <w:rPr>
          <w:b/>
          <w:sz w:val="20"/>
        </w:rPr>
        <w:t>_____________________________________________</w:t>
      </w:r>
      <w:r>
        <w:rPr>
          <w:b/>
          <w:sz w:val="20"/>
        </w:rPr>
        <w:tab/>
        <w:t>_____________________________________________</w:t>
      </w:r>
    </w:p>
    <w:sectPr w:rsidR="00620004">
      <w:headerReference w:type="even" r:id="rId7"/>
      <w:headerReference w:type="default" r:id="rId8"/>
      <w:footerReference w:type="even" r:id="rId9"/>
      <w:footerReference w:type="default" r:id="rId10"/>
      <w:headerReference w:type="first" r:id="rId11"/>
      <w:footerReference w:type="first" r:id="rId12"/>
      <w:pgSz w:w="11906" w:h="16838"/>
      <w:pgMar w:top="2228" w:right="1206" w:bottom="2177" w:left="1242" w:header="625" w:footer="11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BF4" w:rsidRDefault="00067BF4">
      <w:pPr>
        <w:spacing w:after="0" w:line="240" w:lineRule="auto"/>
      </w:pPr>
      <w:r>
        <w:separator/>
      </w:r>
    </w:p>
  </w:endnote>
  <w:endnote w:type="continuationSeparator" w:id="0">
    <w:p w:rsidR="00067BF4" w:rsidRDefault="00067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004" w:rsidRDefault="00067BF4">
    <w:pPr>
      <w:spacing w:after="18" w:line="240" w:lineRule="auto"/>
      <w:ind w:left="0" w:firstLine="0"/>
      <w:jc w:val="right"/>
    </w:pPr>
    <w:r>
      <w:fldChar w:fldCharType="begin"/>
    </w:r>
    <w:r>
      <w:instrText xml:space="preserve"> PAGE   \* MERGEFORMAT </w:instrText>
    </w:r>
    <w:r>
      <w:fldChar w:fldCharType="separate"/>
    </w:r>
    <w:r>
      <w:t>1</w:t>
    </w:r>
    <w:r>
      <w:fldChar w:fldCharType="end"/>
    </w:r>
    <w:r>
      <w:t xml:space="preserve">/ </w:t>
    </w:r>
    <w:r>
      <w:fldChar w:fldCharType="begin"/>
    </w:r>
    <w:r>
      <w:instrText xml:space="preserve"> NUMPAGES   \* MERGEFORMAT </w:instrText>
    </w:r>
    <w:r>
      <w:fldChar w:fldCharType="separate"/>
    </w:r>
    <w:r>
      <w:t>10</w:t>
    </w:r>
    <w:r>
      <w:fldChar w:fldCharType="end"/>
    </w:r>
  </w:p>
  <w:p w:rsidR="00620004" w:rsidRDefault="00067BF4">
    <w:pPr>
      <w:spacing w:after="109" w:line="276" w:lineRule="auto"/>
      <w:ind w:left="0" w:right="229" w:firstLine="0"/>
      <w:jc w:val="righ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234309</wp:posOffset>
              </wp:positionH>
              <wp:positionV relativeFrom="page">
                <wp:posOffset>9546038</wp:posOffset>
              </wp:positionV>
              <wp:extent cx="6383655" cy="9360"/>
              <wp:effectExtent l="0" t="0" r="0" b="0"/>
              <wp:wrapSquare wrapText="bothSides"/>
              <wp:docPr id="6810" name="Group 6810"/>
              <wp:cNvGraphicFramePr/>
              <a:graphic xmlns:a="http://schemas.openxmlformats.org/drawingml/2006/main">
                <a:graphicData uri="http://schemas.microsoft.com/office/word/2010/wordprocessingGroup">
                  <wpg:wgp>
                    <wpg:cNvGrpSpPr/>
                    <wpg:grpSpPr>
                      <a:xfrm>
                        <a:off x="0" y="0"/>
                        <a:ext cx="6383655" cy="9360"/>
                        <a:chOff x="0" y="0"/>
                        <a:chExt cx="6383655" cy="9360"/>
                      </a:xfrm>
                    </wpg:grpSpPr>
                    <wps:wsp>
                      <wps:cNvPr id="6811" name="Shape 6811"/>
                      <wps:cNvSpPr/>
                      <wps:spPr>
                        <a:xfrm>
                          <a:off x="0" y="0"/>
                          <a:ext cx="6383655" cy="0"/>
                        </a:xfrm>
                        <a:custGeom>
                          <a:avLst/>
                          <a:gdLst/>
                          <a:ahLst/>
                          <a:cxnLst/>
                          <a:rect l="0" t="0" r="0" b="0"/>
                          <a:pathLst>
                            <a:path w="6383655">
                              <a:moveTo>
                                <a:pt x="0" y="0"/>
                              </a:moveTo>
                              <a:lnTo>
                                <a:pt x="6383655" y="0"/>
                              </a:lnTo>
                            </a:path>
                          </a:pathLst>
                        </a:custGeom>
                        <a:ln w="936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58E0644" id="Group 6810" o:spid="_x0000_s1026" style="position:absolute;margin-left:18.45pt;margin-top:751.65pt;width:502.65pt;height:.75pt;z-index:251664384;mso-position-horizontal-relative:page;mso-position-vertical-relative:page" coordsize="6383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">
              <v:shape id="Shape 6811" o:spid="_x0000_s1027" style="position:absolute;width:63836;height:0;visibility:visible;mso-wrap-style:square;v-text-anchor:top" coordsize="63836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GA0sMA&#10;AADdAAAADwAAAGRycy9kb3ducmV2LnhtbESPT4vCMBTE7wt+h/AEb2taDyLVKFLwz0nQXaHHR/Ns&#10;i81LaGKt394IC3scZuY3zGozmFb01PnGsoJ0moAgLq1uuFLw+7P7XoDwAVlja5kUvMjDZj36WmGm&#10;7ZPP1F9CJSKEfYYK6hBcJqUvazLop9YRR+9mO4Mhyq6SusNnhJtWzpJkLg02HBdqdJTXVN4vD6Og&#10;youtPB3Ilf3RHYr80fbF/qrUZDxslyACDeE//Nc+agXzRZrC5018AnL9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GA0sMAAADdAAAADwAAAAAAAAAAAAAAAACYAgAAZHJzL2Rv&#10;d25yZXYueG1sUEsFBgAAAAAEAAQA9QAAAIgDAAAAAA==&#10;" path="m,l6383655,e" filled="f" strokeweight=".26mm">
                <v:stroke miterlimit="83231f" joinstyle="miter" endcap="square"/>
                <v:path arrowok="t" textboxrect="0,0,6383655,0"/>
              </v:shape>
              <w10:wrap type="square" anchorx="page" anchory="page"/>
            </v:group>
          </w:pict>
        </mc:Fallback>
      </mc:AlternateContent>
    </w:r>
  </w:p>
  <w:p w:rsidR="00620004" w:rsidRDefault="00067BF4">
    <w:pPr>
      <w:spacing w:after="0" w:line="234" w:lineRule="auto"/>
      <w:ind w:left="17" w:right="2068" w:hanging="17"/>
      <w:jc w:val="center"/>
    </w:pPr>
    <w:r>
      <w:rPr>
        <w:sz w:val="16"/>
      </w:rPr>
      <w:t>Rua Esteves Júnior, 160 – 6º andar. Centro – Florianópolis / SC – 88.015-130 Telefones: (48) 3</w:t>
    </w:r>
    <w:r>
      <w:rPr>
        <w:sz w:val="16"/>
      </w:rPr>
      <w:t xml:space="preserve">664-8975 / 3664-8826  / 3664-8827 e-mail: </w:t>
    </w:r>
    <w:r>
      <w:rPr>
        <w:color w:val="0000FF"/>
        <w:sz w:val="16"/>
        <w:u w:val="single" w:color="0000FF"/>
      </w:rPr>
      <w:t xml:space="preserve">gecon@saude.sc.gov.br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004" w:rsidRDefault="00067BF4">
    <w:pPr>
      <w:spacing w:after="18" w:line="240" w:lineRule="auto"/>
      <w:ind w:left="0" w:firstLine="0"/>
      <w:jc w:val="right"/>
    </w:pPr>
    <w:r>
      <w:fldChar w:fldCharType="begin"/>
    </w:r>
    <w:r>
      <w:instrText xml:space="preserve"> PAGE   \* MERGEFORMAT </w:instrText>
    </w:r>
    <w:r>
      <w:fldChar w:fldCharType="separate"/>
    </w:r>
    <w:r w:rsidR="00DF7DFE">
      <w:rPr>
        <w:noProof/>
      </w:rPr>
      <w:t>1</w:t>
    </w:r>
    <w:r>
      <w:fldChar w:fldCharType="end"/>
    </w:r>
    <w:r>
      <w:t xml:space="preserve">/ </w:t>
    </w:r>
    <w:r>
      <w:fldChar w:fldCharType="begin"/>
    </w:r>
    <w:r>
      <w:instrText xml:space="preserve"> NUMPAGES   \* MERGEFORMAT </w:instrText>
    </w:r>
    <w:r>
      <w:fldChar w:fldCharType="separate"/>
    </w:r>
    <w:r w:rsidR="00DF7DFE">
      <w:rPr>
        <w:noProof/>
      </w:rPr>
      <w:t>1</w:t>
    </w:r>
    <w:r>
      <w:fldChar w:fldCharType="end"/>
    </w:r>
  </w:p>
  <w:p w:rsidR="00620004" w:rsidRDefault="00067BF4">
    <w:pPr>
      <w:spacing w:after="109" w:line="276" w:lineRule="auto"/>
      <w:ind w:left="0" w:right="229" w:firstLine="0"/>
      <w:jc w:val="righ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234309</wp:posOffset>
              </wp:positionH>
              <wp:positionV relativeFrom="page">
                <wp:posOffset>9546038</wp:posOffset>
              </wp:positionV>
              <wp:extent cx="6383655" cy="9360"/>
              <wp:effectExtent l="0" t="0" r="0" b="0"/>
              <wp:wrapSquare wrapText="bothSides"/>
              <wp:docPr id="6771" name="Group 6771"/>
              <wp:cNvGraphicFramePr/>
              <a:graphic xmlns:a="http://schemas.openxmlformats.org/drawingml/2006/main">
                <a:graphicData uri="http://schemas.microsoft.com/office/word/2010/wordprocessingGroup">
                  <wpg:wgp>
                    <wpg:cNvGrpSpPr/>
                    <wpg:grpSpPr>
                      <a:xfrm>
                        <a:off x="0" y="0"/>
                        <a:ext cx="6383655" cy="9360"/>
                        <a:chOff x="0" y="0"/>
                        <a:chExt cx="6383655" cy="9360"/>
                      </a:xfrm>
                    </wpg:grpSpPr>
                    <wps:wsp>
                      <wps:cNvPr id="6772" name="Shape 6772"/>
                      <wps:cNvSpPr/>
                      <wps:spPr>
                        <a:xfrm>
                          <a:off x="0" y="0"/>
                          <a:ext cx="6383655" cy="0"/>
                        </a:xfrm>
                        <a:custGeom>
                          <a:avLst/>
                          <a:gdLst/>
                          <a:ahLst/>
                          <a:cxnLst/>
                          <a:rect l="0" t="0" r="0" b="0"/>
                          <a:pathLst>
                            <a:path w="6383655">
                              <a:moveTo>
                                <a:pt x="0" y="0"/>
                              </a:moveTo>
                              <a:lnTo>
                                <a:pt x="6383655" y="0"/>
                              </a:lnTo>
                            </a:path>
                          </a:pathLst>
                        </a:custGeom>
                        <a:ln w="936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8E26240" id="Group 6771" o:spid="_x0000_s1026" style="position:absolute;margin-left:18.45pt;margin-top:751.65pt;width:502.65pt;height:.75pt;z-index:251665408;mso-position-horizontal-relative:page;mso-position-vertical-relative:page" coordsize="6383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">
              <v:shape id="Shape 6772" o:spid="_x0000_s1027" style="position:absolute;width:63836;height:0;visibility:visible;mso-wrap-style:square;v-text-anchor:top" coordsize="63836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hvU8QA&#10;AADdAAAADwAAAGRycy9kb3ducmV2LnhtbESPT4vCMBTE78J+h/AW9mZTPahUo0hhV08L/oMeH82z&#10;LTYvoYm1++03guBxmJnfMKvNYFrRU+cbywomSQqCuLS64UrB+fQ9XoDwAVlja5kU/JGHzfpjtMJM&#10;2wcfqD+GSkQI+wwV1CG4TEpf1mTQJ9YRR+9qO4Mhyq6SusNHhJtWTtN0Jg02HBdqdJTXVN6Od6Og&#10;yout/N2RK/u92xX5ve2Ln4tSX5/Ddgki0BDe4Vd7rxXM5vMpPN/EJ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ob1PEAAAA3QAAAA8AAAAAAAAAAAAAAAAAmAIAAGRycy9k&#10;b3ducmV2LnhtbFBLBQYAAAAABAAEAPUAAACJAwAAAAA=&#10;" path="m,l6383655,e" filled="f" strokeweight=".26mm">
                <v:stroke miterlimit="83231f" joinstyle="miter" endcap="square"/>
                <v:path arrowok="t" textboxrect="0,0,6383655,0"/>
              </v:shape>
              <w10:wrap type="square" anchorx="page" anchory="page"/>
            </v:group>
          </w:pict>
        </mc:Fallback>
      </mc:AlternateContent>
    </w:r>
  </w:p>
  <w:p w:rsidR="00620004" w:rsidRDefault="00067BF4">
    <w:pPr>
      <w:spacing w:after="0" w:line="234" w:lineRule="auto"/>
      <w:ind w:left="17" w:right="2068" w:hanging="17"/>
      <w:jc w:val="center"/>
    </w:pPr>
    <w:r>
      <w:rPr>
        <w:sz w:val="16"/>
      </w:rPr>
      <w:t xml:space="preserve">Rua Esteves Júnior, 160 – 6º andar. Centro – Florianópolis / SC – 88.015-130 Telefones: (48) 3664-8975 / 3664-8826  / 3664-8827 e-mail: </w:t>
    </w:r>
    <w:r>
      <w:rPr>
        <w:color w:val="0000FF"/>
        <w:sz w:val="16"/>
        <w:u w:val="single" w:color="0000FF"/>
      </w:rPr>
      <w:t xml:space="preserve">gecon@saude.sc.gov.br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004" w:rsidRDefault="00067BF4">
    <w:pPr>
      <w:spacing w:after="18" w:line="240" w:lineRule="auto"/>
      <w:ind w:left="0" w:firstLine="0"/>
      <w:jc w:val="right"/>
    </w:pPr>
    <w:r>
      <w:fldChar w:fldCharType="begin"/>
    </w:r>
    <w:r>
      <w:instrText xml:space="preserve"> PAGE   \* MERGEFORMAT </w:instrText>
    </w:r>
    <w:r>
      <w:fldChar w:fldCharType="separate"/>
    </w:r>
    <w:r>
      <w:t>1</w:t>
    </w:r>
    <w:r>
      <w:fldChar w:fldCharType="end"/>
    </w:r>
    <w:r>
      <w:t xml:space="preserve">/ </w:t>
    </w:r>
    <w:r>
      <w:fldChar w:fldCharType="begin"/>
    </w:r>
    <w:r>
      <w:instrText xml:space="preserve"> NUMPAGES   \* MERGEFORMAT </w:instrText>
    </w:r>
    <w:r>
      <w:fldChar w:fldCharType="separate"/>
    </w:r>
    <w:r>
      <w:t>10</w:t>
    </w:r>
    <w:r>
      <w:fldChar w:fldCharType="end"/>
    </w:r>
  </w:p>
  <w:p w:rsidR="00620004" w:rsidRDefault="00067BF4">
    <w:pPr>
      <w:spacing w:after="109" w:line="276" w:lineRule="auto"/>
      <w:ind w:left="0" w:right="229" w:firstLine="0"/>
      <w:jc w:val="righ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234309</wp:posOffset>
              </wp:positionH>
              <wp:positionV relativeFrom="page">
                <wp:posOffset>9546038</wp:posOffset>
              </wp:positionV>
              <wp:extent cx="6383655" cy="9360"/>
              <wp:effectExtent l="0" t="0" r="0" b="0"/>
              <wp:wrapSquare wrapText="bothSides"/>
              <wp:docPr id="6732" name="Group 6732"/>
              <wp:cNvGraphicFramePr/>
              <a:graphic xmlns:a="http://schemas.openxmlformats.org/drawingml/2006/main">
                <a:graphicData uri="http://schemas.microsoft.com/office/word/2010/wordprocessingGroup">
                  <wpg:wgp>
                    <wpg:cNvGrpSpPr/>
                    <wpg:grpSpPr>
                      <a:xfrm>
                        <a:off x="0" y="0"/>
                        <a:ext cx="6383655" cy="9360"/>
                        <a:chOff x="0" y="0"/>
                        <a:chExt cx="6383655" cy="9360"/>
                      </a:xfrm>
                    </wpg:grpSpPr>
                    <wps:wsp>
                      <wps:cNvPr id="6733" name="Shape 6733"/>
                      <wps:cNvSpPr/>
                      <wps:spPr>
                        <a:xfrm>
                          <a:off x="0" y="0"/>
                          <a:ext cx="6383655" cy="0"/>
                        </a:xfrm>
                        <a:custGeom>
                          <a:avLst/>
                          <a:gdLst/>
                          <a:ahLst/>
                          <a:cxnLst/>
                          <a:rect l="0" t="0" r="0" b="0"/>
                          <a:pathLst>
                            <a:path w="6383655">
                              <a:moveTo>
                                <a:pt x="0" y="0"/>
                              </a:moveTo>
                              <a:lnTo>
                                <a:pt x="6383655" y="0"/>
                              </a:lnTo>
                            </a:path>
                          </a:pathLst>
                        </a:custGeom>
                        <a:ln w="936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680719F" id="Group 6732" o:spid="_x0000_s1026" style="position:absolute;margin-left:18.45pt;margin-top:751.65pt;width:502.65pt;height:.75pt;z-index:251666432;mso-position-horizontal-relative:page;mso-position-vertical-relative:page" coordsize="6383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">
              <v:shape id="Shape 6733" o:spid="_x0000_s1027" style="position:absolute;width:63836;height:0;visibility:visible;mso-wrap-style:square;v-text-anchor:top" coordsize="63836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5zCMUA&#10;AADdAAAADwAAAGRycy9kb3ducmV2LnhtbESPwWrDMBBE74X+g9hCbo3cGpziRgnB0CSnQNwWfFys&#10;rW1qrYSl2O7fV4FAjsPMvGHW29n0YqTBd5YVvCwTEMS11R03Cr4+P57fQPiArLG3TAr+yMN28/iw&#10;xlzbic80lqEREcI+RwVtCC6X0tctGfRL64ij92MHgyHKoZF6wCnCTS9fkySTBjuOCy06Klqqf8uL&#10;UdAU1U6eDuTq8egOVXHpx2r/rdTiad69gwg0h3v41j5qBdkqTeH6Jj4Buf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DnMIxQAAAN0AAAAPAAAAAAAAAAAAAAAAAJgCAABkcnMv&#10;ZG93bnJldi54bWxQSwUGAAAAAAQABAD1AAAAigMAAAAA&#10;" path="m,l6383655,e" filled="f" strokeweight=".26mm">
                <v:stroke miterlimit="83231f" joinstyle="miter" endcap="square"/>
                <v:path arrowok="t" textboxrect="0,0,6383655,0"/>
              </v:shape>
              <w10:wrap type="square" anchorx="page" anchory="page"/>
            </v:group>
          </w:pict>
        </mc:Fallback>
      </mc:AlternateContent>
    </w:r>
  </w:p>
  <w:p w:rsidR="00620004" w:rsidRDefault="00067BF4">
    <w:pPr>
      <w:spacing w:after="0" w:line="234" w:lineRule="auto"/>
      <w:ind w:left="17" w:right="2068" w:hanging="17"/>
      <w:jc w:val="center"/>
    </w:pPr>
    <w:r>
      <w:rPr>
        <w:sz w:val="16"/>
      </w:rPr>
      <w:t xml:space="preserve">Rua Esteves Júnior, 160 – 6º andar. Centro – Florianópolis / SC – 88.015-130 Telefones: (48) 3664-8975 / 3664-8826  / 3664-8827 e-mail: </w:t>
    </w:r>
    <w:r>
      <w:rPr>
        <w:color w:val="0000FF"/>
        <w:sz w:val="16"/>
        <w:u w:val="single" w:color="0000FF"/>
      </w:rPr>
      <w:t xml:space="preserve">gecon@saude.sc.gov.br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BF4" w:rsidRDefault="00067BF4">
      <w:pPr>
        <w:spacing w:after="0" w:line="240" w:lineRule="auto"/>
      </w:pPr>
      <w:r>
        <w:separator/>
      </w:r>
    </w:p>
  </w:footnote>
  <w:footnote w:type="continuationSeparator" w:id="0">
    <w:p w:rsidR="00067BF4" w:rsidRDefault="00067B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004" w:rsidRDefault="00067BF4">
    <w:pPr>
      <w:spacing w:after="40" w:line="240" w:lineRule="auto"/>
      <w:ind w:left="0" w:firstLine="0"/>
      <w:jc w:val="left"/>
    </w:pPr>
    <w:r>
      <w:rPr>
        <w:rFonts w:ascii="Impact" w:eastAsia="Impact" w:hAnsi="Impact" w:cs="Impact"/>
      </w:rPr>
      <w:t xml:space="preserve">GOVERNO DE SANTA CATARINA </w:t>
    </w:r>
  </w:p>
  <w:p w:rsidR="00620004" w:rsidRDefault="00067BF4">
    <w:pPr>
      <w:spacing w:after="40" w:line="240" w:lineRule="auto"/>
      <w:ind w:left="0" w:firstLine="0"/>
      <w:jc w:val="left"/>
    </w:pPr>
    <w:r>
      <w:rPr>
        <w:rFonts w:ascii="Impact" w:eastAsia="Impact" w:hAnsi="Impact" w:cs="Impact"/>
      </w:rPr>
      <w:t xml:space="preserve">Secretaria de Estado da Saúde </w:t>
    </w:r>
  </w:p>
  <w:p w:rsidR="00620004" w:rsidRDefault="00067BF4">
    <w:pPr>
      <w:spacing w:after="40" w:line="240" w:lineRule="auto"/>
      <w:ind w:left="0" w:firstLine="0"/>
      <w:jc w:val="left"/>
    </w:pPr>
    <w:r>
      <w:rPr>
        <w:rFonts w:ascii="Impact" w:eastAsia="Impact" w:hAnsi="Impact" w:cs="Impact"/>
      </w:rPr>
      <w:t xml:space="preserve">Superintendência de Gestão Administrativa </w:t>
    </w:r>
  </w:p>
  <w:p w:rsidR="00620004" w:rsidRDefault="00067BF4">
    <w:pPr>
      <w:spacing w:after="0" w:line="240" w:lineRule="auto"/>
      <w:ind w:left="0" w:firstLine="0"/>
      <w:jc w:val="left"/>
    </w:pPr>
    <w:r>
      <w:rPr>
        <w:noProof/>
      </w:rPr>
      <w:drawing>
        <wp:anchor distT="0" distB="0" distL="114300" distR="114300" simplePos="0" relativeHeight="251658240" behindDoc="0" locked="0" layoutInCell="1" allowOverlap="0">
          <wp:simplePos x="0" y="0"/>
          <wp:positionH relativeFrom="page">
            <wp:posOffset>584581</wp:posOffset>
          </wp:positionH>
          <wp:positionV relativeFrom="page">
            <wp:posOffset>397021</wp:posOffset>
          </wp:positionV>
          <wp:extent cx="891083" cy="825209"/>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891083" cy="825209"/>
                  </a:xfrm>
                  <a:prstGeom prst="rect">
                    <a:avLst/>
                  </a:prstGeom>
                </pic:spPr>
              </pic:pic>
            </a:graphicData>
          </a:graphic>
        </wp:anchor>
      </w:drawing>
    </w:r>
    <w:r>
      <w:rPr>
        <w:rFonts w:ascii="Impact" w:eastAsia="Impact" w:hAnsi="Impact" w:cs="Impact"/>
      </w:rPr>
      <w:t xml:space="preserve">Gerência de Convênios </w:t>
    </w:r>
  </w:p>
  <w:p w:rsidR="00620004" w:rsidRDefault="00067BF4">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60310" cy="10692130"/>
              <wp:effectExtent l="0" t="0" r="0" b="0"/>
              <wp:wrapNone/>
              <wp:docPr id="6798" name="Group 6798"/>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7047" name="Shape 7047"/>
                      <wps:cNvSpPr/>
                      <wps:spPr>
                        <a:xfrm>
                          <a:off x="0" y="0"/>
                          <a:ext cx="7560310" cy="5715000"/>
                        </a:xfrm>
                        <a:custGeom>
                          <a:avLst/>
                          <a:gdLst/>
                          <a:ahLst/>
                          <a:cxnLst/>
                          <a:rect l="0" t="0" r="0" b="0"/>
                          <a:pathLst>
                            <a:path w="7560310" h="5715000">
                              <a:moveTo>
                                <a:pt x="0" y="0"/>
                              </a:moveTo>
                              <a:lnTo>
                                <a:pt x="7560310" y="0"/>
                              </a:lnTo>
                              <a:lnTo>
                                <a:pt x="7560310" y="5715000"/>
                              </a:lnTo>
                              <a:lnTo>
                                <a:pt x="0" y="57150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048" name="Shape 7048"/>
                      <wps:cNvSpPr/>
                      <wps:spPr>
                        <a:xfrm>
                          <a:off x="0" y="5715000"/>
                          <a:ext cx="7560310" cy="4977131"/>
                        </a:xfrm>
                        <a:custGeom>
                          <a:avLst/>
                          <a:gdLst/>
                          <a:ahLst/>
                          <a:cxnLst/>
                          <a:rect l="0" t="0" r="0" b="0"/>
                          <a:pathLst>
                            <a:path w="7560310" h="4977131">
                              <a:moveTo>
                                <a:pt x="0" y="0"/>
                              </a:moveTo>
                              <a:lnTo>
                                <a:pt x="7560310" y="0"/>
                              </a:lnTo>
                              <a:lnTo>
                                <a:pt x="7560310" y="4977131"/>
                              </a:lnTo>
                              <a:lnTo>
                                <a:pt x="0" y="4977131"/>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4911737C" id="Group 6798" o:spid="_x0000_s1026" style="position:absolute;margin-left:0;margin-top:0;width:595.3pt;height:841.9pt;z-index:-251657216;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">
              <v:shape id="Shape 7047" o:spid="_x0000_s1027" style="position:absolute;width:75603;height:57150;visibility:visible;mso-wrap-style:square;v-text-anchor:top" coordsize="7560310,571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R4zMcA&#10;AADdAAAADwAAAGRycy9kb3ducmV2LnhtbESPQWvCQBSE74X+h+UJXkrdmJZaoquUQKAUPJjqobdH&#10;9jWJZt/G7DYm/94VCh6HmfmGWW0G04ieOldbVjCfRSCIC6trLhXsv7PndxDOI2tsLJOCkRxs1o8P&#10;K0y0vfCO+tyXIkDYJaig8r5NpHRFRQbdzLbEwfu1nUEfZFdK3eElwE0j4yh6kwZrDgsVtpRWVJzy&#10;P6PgSVNb/7htM+rDMUvj/Gt8mZ+Vmk6GjyUIT4O/h//bn1rBInpdwO1NeAJyf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0EeMzHAAAA3QAAAA8AAAAAAAAAAAAAAAAAmAIAAGRy&#10;cy9kb3ducmV2LnhtbFBLBQYAAAAABAAEAPUAAACMAwAAAAA=&#10;" path="m,l7560310,r,5715000l,5715000,,e" stroked="f" strokeweight="0">
                <v:stroke miterlimit="83231f" joinstyle="miter"/>
                <v:path arrowok="t" textboxrect="0,0,7560310,5715000"/>
              </v:shape>
              <v:shape id="Shape 7048" o:spid="_x0000_s1028" style="position:absolute;top:57150;width:75603;height:49771;visibility:visible;mso-wrap-style:square;v-text-anchor:top" coordsize="7560310,4977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021sMA&#10;AADdAAAADwAAAGRycy9kb3ducmV2LnhtbERP3WrCMBS+F/YO4Qi7kZm4uU06o4jQ4YVerOsDHJqz&#10;pticdE2m7dsvF4KXH9//eju4VlyoD41nDYu5AkFcedNwraH8zp9WIEJENth6Jg0jBdhuHiZrzIy/&#10;8hddiliLFMIhQw02xi6TMlSWHIa574gT9+N7hzHBvpamx2sKd618VupNOmw4NVjsaG+pOhd/ToM6&#10;2dWLmo3lb26O46eb7YfXvND6cTrsPkBEGuJdfHMfjIZ3tUxz05v0BO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021sMAAADdAAAADwAAAAAAAAAAAAAAAACYAgAAZHJzL2Rv&#10;d25yZXYueG1sUEsFBgAAAAAEAAQA9QAAAIgDAAAAAA==&#10;" path="m,l7560310,r,4977131l,4977131,,e" stroked="f" strokeweight="0">
                <v:stroke miterlimit="83231f" joinstyle="miter"/>
                <v:path arrowok="t" textboxrect="0,0,7560310,4977131"/>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004" w:rsidRDefault="00067BF4">
    <w:pPr>
      <w:spacing w:after="40" w:line="240" w:lineRule="auto"/>
      <w:ind w:left="0" w:firstLine="0"/>
      <w:jc w:val="left"/>
    </w:pPr>
    <w:r>
      <w:rPr>
        <w:rFonts w:ascii="Impact" w:eastAsia="Impact" w:hAnsi="Impact" w:cs="Impact"/>
      </w:rPr>
      <w:t xml:space="preserve">GOVERNO DE SANTA CATARINA </w:t>
    </w:r>
  </w:p>
  <w:p w:rsidR="00620004" w:rsidRDefault="00067BF4">
    <w:pPr>
      <w:spacing w:after="40" w:line="240" w:lineRule="auto"/>
      <w:ind w:left="0" w:firstLine="0"/>
      <w:jc w:val="left"/>
    </w:pPr>
    <w:r>
      <w:rPr>
        <w:rFonts w:ascii="Impact" w:eastAsia="Impact" w:hAnsi="Impact" w:cs="Impact"/>
      </w:rPr>
      <w:t xml:space="preserve">Secretaria de Estado da Saúde </w:t>
    </w:r>
  </w:p>
  <w:p w:rsidR="00620004" w:rsidRDefault="00067BF4">
    <w:pPr>
      <w:spacing w:after="40" w:line="240" w:lineRule="auto"/>
      <w:ind w:left="0" w:firstLine="0"/>
      <w:jc w:val="left"/>
    </w:pPr>
    <w:r>
      <w:rPr>
        <w:rFonts w:ascii="Impact" w:eastAsia="Impact" w:hAnsi="Impact" w:cs="Impact"/>
      </w:rPr>
      <w:t xml:space="preserve">Superintendência de Gestão Administrativa </w:t>
    </w:r>
  </w:p>
  <w:p w:rsidR="00620004" w:rsidRDefault="00067BF4">
    <w:pPr>
      <w:spacing w:after="0" w:line="240" w:lineRule="auto"/>
      <w:ind w:left="0" w:firstLine="0"/>
      <w:jc w:val="left"/>
    </w:pPr>
    <w:r>
      <w:rPr>
        <w:noProof/>
      </w:rPr>
      <w:drawing>
        <wp:anchor distT="0" distB="0" distL="114300" distR="114300" simplePos="0" relativeHeight="251660288" behindDoc="0" locked="0" layoutInCell="1" allowOverlap="0">
          <wp:simplePos x="0" y="0"/>
          <wp:positionH relativeFrom="page">
            <wp:posOffset>584581</wp:posOffset>
          </wp:positionH>
          <wp:positionV relativeFrom="page">
            <wp:posOffset>397021</wp:posOffset>
          </wp:positionV>
          <wp:extent cx="891083" cy="825209"/>
          <wp:effectExtent l="0" t="0" r="0" b="0"/>
          <wp:wrapSquare wrapText="bothSides"/>
          <wp:docPr id="1"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891083" cy="825209"/>
                  </a:xfrm>
                  <a:prstGeom prst="rect">
                    <a:avLst/>
                  </a:prstGeom>
                </pic:spPr>
              </pic:pic>
            </a:graphicData>
          </a:graphic>
        </wp:anchor>
      </w:drawing>
    </w:r>
    <w:r>
      <w:rPr>
        <w:rFonts w:ascii="Impact" w:eastAsia="Impact" w:hAnsi="Impact" w:cs="Impact"/>
      </w:rPr>
      <w:t xml:space="preserve">Gerência de Convênios </w:t>
    </w:r>
  </w:p>
  <w:p w:rsidR="00620004" w:rsidRDefault="00067BF4">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560310" cy="10692130"/>
              <wp:effectExtent l="0" t="0" r="0" b="0"/>
              <wp:wrapNone/>
              <wp:docPr id="6759" name="Group 6759"/>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7045" name="Shape 7045"/>
                      <wps:cNvSpPr/>
                      <wps:spPr>
                        <a:xfrm>
                          <a:off x="0" y="0"/>
                          <a:ext cx="7560310" cy="5715000"/>
                        </a:xfrm>
                        <a:custGeom>
                          <a:avLst/>
                          <a:gdLst/>
                          <a:ahLst/>
                          <a:cxnLst/>
                          <a:rect l="0" t="0" r="0" b="0"/>
                          <a:pathLst>
                            <a:path w="7560310" h="5715000">
                              <a:moveTo>
                                <a:pt x="0" y="0"/>
                              </a:moveTo>
                              <a:lnTo>
                                <a:pt x="7560310" y="0"/>
                              </a:lnTo>
                              <a:lnTo>
                                <a:pt x="7560310" y="5715000"/>
                              </a:lnTo>
                              <a:lnTo>
                                <a:pt x="0" y="57150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046" name="Shape 7046"/>
                      <wps:cNvSpPr/>
                      <wps:spPr>
                        <a:xfrm>
                          <a:off x="0" y="5715000"/>
                          <a:ext cx="7560310" cy="4977131"/>
                        </a:xfrm>
                        <a:custGeom>
                          <a:avLst/>
                          <a:gdLst/>
                          <a:ahLst/>
                          <a:cxnLst/>
                          <a:rect l="0" t="0" r="0" b="0"/>
                          <a:pathLst>
                            <a:path w="7560310" h="4977131">
                              <a:moveTo>
                                <a:pt x="0" y="0"/>
                              </a:moveTo>
                              <a:lnTo>
                                <a:pt x="7560310" y="0"/>
                              </a:lnTo>
                              <a:lnTo>
                                <a:pt x="7560310" y="4977131"/>
                              </a:lnTo>
                              <a:lnTo>
                                <a:pt x="0" y="4977131"/>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30BB6271" id="Group 6759" o:spid="_x0000_s1026" style="position:absolute;margin-left:0;margin-top:0;width:595.3pt;height:841.9pt;z-index:-251655168;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">
              <v:shape id="Shape 7045" o:spid="_x0000_s1027" style="position:absolute;width:75603;height:57150;visibility:visible;mso-wrap-style:square;v-text-anchor:top" coordsize="7560310,571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pDIMcA&#10;AADdAAAADwAAAGRycy9kb3ducmV2LnhtbESPQWvCQBSE74L/YXlCL9JstLZKdJUiCEXwYNSDt0f2&#10;maTNvk2zW03+vSsIPQ4z8w2zWLWmEldqXGlZwSiKQRBnVpecKzgeNq8zEM4ja6wsk4KOHKyW/d4C&#10;E21vvKdr6nMRIOwSVFB4XydSuqwggy6yNXHwLrYx6INscqkbvAW4qeQ4jj+kwZLDQoE1rQvKftI/&#10;o2CoqS7Pbld1+vS9WY/Tbfc2+lXqZdB+zkF4av1/+Nn+0gqm8eQdHm/CE5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aQyDHAAAA3QAAAA8AAAAAAAAAAAAAAAAAmAIAAGRy&#10;cy9kb3ducmV2LnhtbFBLBQYAAAAABAAEAPUAAACMAwAAAAA=&#10;" path="m,l7560310,r,5715000l,5715000,,e" stroked="f" strokeweight="0">
                <v:stroke miterlimit="83231f" joinstyle="miter"/>
                <v:path arrowok="t" textboxrect="0,0,7560310,5715000"/>
              </v:shape>
              <v:shape id="Shape 7046" o:spid="_x0000_s1028" style="position:absolute;top:57150;width:75603;height:49771;visibility:visible;mso-wrap-style:square;v-text-anchor:top" coordsize="7560310,4977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4HP8YA&#10;AADdAAAADwAAAGRycy9kb3ducmV2LnhtbESPzW7CMBCE75X6DtZW6gWB3T9AAYMQUqoeyqGBB1jF&#10;SxwRr9PYQPL2NRJSj6OZ+UazXPeuERfqQu1Zw8tEgSAuvam50nDY5+M5iBCRDTaeScNAAdarx4cl&#10;ZsZf+YcuRaxEgnDIUIONsc2kDKUlh2HiW+LkHX3nMCbZVdJ0eE1w18hXpabSYc1pwWJLW0vlqTg7&#10;DWpn529qNBx+c/M9fLrRtv/IC62fn/rNAkSkPv6H7+0vo2Gm3qdwe5Oe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4HP8YAAADdAAAADwAAAAAAAAAAAAAAAACYAgAAZHJz&#10;L2Rvd25yZXYueG1sUEsFBgAAAAAEAAQA9QAAAIsDAAAAAA==&#10;" path="m,l7560310,r,4977131l,4977131,,e" stroked="f" strokeweight="0">
                <v:stroke miterlimit="83231f" joinstyle="miter"/>
                <v:path arrowok="t" textboxrect="0,0,7560310,4977131"/>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004" w:rsidRDefault="00067BF4">
    <w:pPr>
      <w:spacing w:after="40" w:line="240" w:lineRule="auto"/>
      <w:ind w:left="0" w:firstLine="0"/>
      <w:jc w:val="left"/>
    </w:pPr>
    <w:r>
      <w:rPr>
        <w:rFonts w:ascii="Impact" w:eastAsia="Impact" w:hAnsi="Impact" w:cs="Impact"/>
      </w:rPr>
      <w:t xml:space="preserve">GOVERNO DE SANTA CATARINA </w:t>
    </w:r>
  </w:p>
  <w:p w:rsidR="00620004" w:rsidRDefault="00067BF4">
    <w:pPr>
      <w:spacing w:after="40" w:line="240" w:lineRule="auto"/>
      <w:ind w:left="0" w:firstLine="0"/>
      <w:jc w:val="left"/>
    </w:pPr>
    <w:r>
      <w:rPr>
        <w:rFonts w:ascii="Impact" w:eastAsia="Impact" w:hAnsi="Impact" w:cs="Impact"/>
      </w:rPr>
      <w:t>Se</w:t>
    </w:r>
    <w:r>
      <w:rPr>
        <w:rFonts w:ascii="Impact" w:eastAsia="Impact" w:hAnsi="Impact" w:cs="Impact"/>
      </w:rPr>
      <w:t xml:space="preserve">cretaria de Estado da Saúde </w:t>
    </w:r>
  </w:p>
  <w:p w:rsidR="00620004" w:rsidRDefault="00067BF4">
    <w:pPr>
      <w:spacing w:after="40" w:line="240" w:lineRule="auto"/>
      <w:ind w:left="0" w:firstLine="0"/>
      <w:jc w:val="left"/>
    </w:pPr>
    <w:r>
      <w:rPr>
        <w:rFonts w:ascii="Impact" w:eastAsia="Impact" w:hAnsi="Impact" w:cs="Impact"/>
      </w:rPr>
      <w:t xml:space="preserve">Superintendência de Gestão Administrativa </w:t>
    </w:r>
  </w:p>
  <w:p w:rsidR="00620004" w:rsidRDefault="00067BF4">
    <w:pPr>
      <w:spacing w:after="0" w:line="240" w:lineRule="auto"/>
      <w:ind w:left="0" w:firstLine="0"/>
      <w:jc w:val="left"/>
    </w:pPr>
    <w:r>
      <w:rPr>
        <w:noProof/>
      </w:rPr>
      <w:drawing>
        <wp:anchor distT="0" distB="0" distL="114300" distR="114300" simplePos="0" relativeHeight="251662336" behindDoc="0" locked="0" layoutInCell="1" allowOverlap="0">
          <wp:simplePos x="0" y="0"/>
          <wp:positionH relativeFrom="page">
            <wp:posOffset>584581</wp:posOffset>
          </wp:positionH>
          <wp:positionV relativeFrom="page">
            <wp:posOffset>397021</wp:posOffset>
          </wp:positionV>
          <wp:extent cx="891083" cy="825209"/>
          <wp:effectExtent l="0" t="0" r="0" b="0"/>
          <wp:wrapSquare wrapText="bothSides"/>
          <wp:docPr id="2"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891083" cy="825209"/>
                  </a:xfrm>
                  <a:prstGeom prst="rect">
                    <a:avLst/>
                  </a:prstGeom>
                </pic:spPr>
              </pic:pic>
            </a:graphicData>
          </a:graphic>
        </wp:anchor>
      </w:drawing>
    </w:r>
    <w:r>
      <w:rPr>
        <w:rFonts w:ascii="Impact" w:eastAsia="Impact" w:hAnsi="Impact" w:cs="Impact"/>
      </w:rPr>
      <w:t xml:space="preserve">Gerência de Convênios </w:t>
    </w:r>
  </w:p>
  <w:p w:rsidR="00620004" w:rsidRDefault="00067BF4">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7560310" cy="10692130"/>
              <wp:effectExtent l="0" t="0" r="0" b="0"/>
              <wp:wrapNone/>
              <wp:docPr id="6720" name="Group 6720"/>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7043" name="Shape 7043"/>
                      <wps:cNvSpPr/>
                      <wps:spPr>
                        <a:xfrm>
                          <a:off x="0" y="0"/>
                          <a:ext cx="7560310" cy="5715000"/>
                        </a:xfrm>
                        <a:custGeom>
                          <a:avLst/>
                          <a:gdLst/>
                          <a:ahLst/>
                          <a:cxnLst/>
                          <a:rect l="0" t="0" r="0" b="0"/>
                          <a:pathLst>
                            <a:path w="7560310" h="5715000">
                              <a:moveTo>
                                <a:pt x="0" y="0"/>
                              </a:moveTo>
                              <a:lnTo>
                                <a:pt x="7560310" y="0"/>
                              </a:lnTo>
                              <a:lnTo>
                                <a:pt x="7560310" y="5715000"/>
                              </a:lnTo>
                              <a:lnTo>
                                <a:pt x="0" y="57150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044" name="Shape 7044"/>
                      <wps:cNvSpPr/>
                      <wps:spPr>
                        <a:xfrm>
                          <a:off x="0" y="5715000"/>
                          <a:ext cx="7560310" cy="4977131"/>
                        </a:xfrm>
                        <a:custGeom>
                          <a:avLst/>
                          <a:gdLst/>
                          <a:ahLst/>
                          <a:cxnLst/>
                          <a:rect l="0" t="0" r="0" b="0"/>
                          <a:pathLst>
                            <a:path w="7560310" h="4977131">
                              <a:moveTo>
                                <a:pt x="0" y="0"/>
                              </a:moveTo>
                              <a:lnTo>
                                <a:pt x="7560310" y="0"/>
                              </a:lnTo>
                              <a:lnTo>
                                <a:pt x="7560310" y="4977131"/>
                              </a:lnTo>
                              <a:lnTo>
                                <a:pt x="0" y="4977131"/>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44D36E22" id="Group 6720" o:spid="_x0000_s1026" style="position:absolute;margin-left:0;margin-top:0;width:595.3pt;height:841.9pt;z-index:-251653120;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">
              <v:shape id="Shape 7043" o:spid="_x0000_s1027" style="position:absolute;width:75603;height:57150;visibility:visible;mso-wrap-style:square;v-text-anchor:top" coordsize="7560310,571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9+z8YA&#10;AADdAAAADwAAAGRycy9kb3ducmV2LnhtbESPT4vCMBTE74LfITzBi2jqH1apRlkEYVnwYFcP3h7N&#10;s+1u89Jtorbf3giCx2FmfsOsNo0pxY1qV1hWMB5FIIhTqwvOFBx/dsMFCOeRNZaWSUFLDjbrbmeF&#10;sbZ3PtAt8ZkIEHYxKsi9r2IpXZqTQTeyFXHwLrY26IOsM6lrvAe4KeUkij6kwYLDQo4VbXNK/5Kr&#10;UTDQVBVnty9bffrdbSfJdzsd/yvV7zWfSxCeGv8Ov9pfWsE8mk3h+SY8Ab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j9+z8YAAADdAAAADwAAAAAAAAAAAAAAAACYAgAAZHJz&#10;L2Rvd25yZXYueG1sUEsFBgAAAAAEAAQA9QAAAIsDAAAAAA==&#10;" path="m,l7560310,r,5715000l,5715000,,e" stroked="f" strokeweight="0">
                <v:stroke miterlimit="83231f" joinstyle="miter"/>
                <v:path arrowok="t" textboxrect="0,0,7560310,5715000"/>
              </v:shape>
              <v:shape id="Shape 7044" o:spid="_x0000_s1028" style="position:absolute;top:57150;width:75603;height:49771;visibility:visible;mso-wrap-style:square;v-text-anchor:top" coordsize="7560310,4977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A808YA&#10;AADdAAAADwAAAGRycy9kb3ducmV2LnhtbESPQWsCMRSE7wX/Q3iFXkSTqq2yNUoRtnioh279AY/N&#10;62bp5mXdRN3990Yo9DjMzDfMetu7RlyoC7VnDc9TBYK49KbmSsPxO5+sQISIbLDxTBoGCrDdjB7W&#10;mBl/5S+6FLESCcIhQw02xjaTMpSWHIapb4mT9+M7hzHJrpKmw2uCu0bOlHqVDmtOCxZb2lkqf4uz&#10;06AOdjVX4+F4ys3n8OHGu/4lL7R+euzf30BE6uN/+K+9NxqWarGA+5v0BOTm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A808YAAADdAAAADwAAAAAAAAAAAAAAAACYAgAAZHJz&#10;L2Rvd25yZXYueG1sUEsFBgAAAAAEAAQA9QAAAIsDAAAAAA==&#10;" path="m,l7560310,r,4977131l,4977131,,e" stroked="f" strokeweight="0">
                <v:stroke miterlimit="83231f" joinstyle="miter"/>
                <v:path arrowok="t" textboxrect="0,0,7560310,4977131"/>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E38"/>
    <w:multiLevelType w:val="hybridMultilevel"/>
    <w:tmpl w:val="8940F35A"/>
    <w:lvl w:ilvl="0" w:tplc="71B48F8A">
      <w:start w:val="1"/>
      <w:numFmt w:val="upperRoman"/>
      <w:lvlText w:val="%1."/>
      <w:lvlJc w:val="left"/>
      <w:pPr>
        <w:ind w:left="11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414162E">
      <w:start w:val="1"/>
      <w:numFmt w:val="upperRoman"/>
      <w:lvlText w:val="%2."/>
      <w:lvlJc w:val="left"/>
      <w:pPr>
        <w:ind w:left="12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87EC392">
      <w:start w:val="1"/>
      <w:numFmt w:val="lowerLetter"/>
      <w:lvlText w:val="%3."/>
      <w:lvlJc w:val="left"/>
      <w:pPr>
        <w:ind w:left="18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69099F4">
      <w:start w:val="1"/>
      <w:numFmt w:val="decimal"/>
      <w:lvlText w:val="%4"/>
      <w:lvlJc w:val="left"/>
      <w:pPr>
        <w:ind w:left="26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6E4CEBE">
      <w:start w:val="1"/>
      <w:numFmt w:val="lowerLetter"/>
      <w:lvlText w:val="%5"/>
      <w:lvlJc w:val="left"/>
      <w:pPr>
        <w:ind w:left="33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BACE390">
      <w:start w:val="1"/>
      <w:numFmt w:val="lowerRoman"/>
      <w:lvlText w:val="%6"/>
      <w:lvlJc w:val="left"/>
      <w:pPr>
        <w:ind w:left="41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596E898">
      <w:start w:val="1"/>
      <w:numFmt w:val="decimal"/>
      <w:lvlText w:val="%7"/>
      <w:lvlJc w:val="left"/>
      <w:pPr>
        <w:ind w:left="48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FA02B9E">
      <w:start w:val="1"/>
      <w:numFmt w:val="lowerLetter"/>
      <w:lvlText w:val="%8"/>
      <w:lvlJc w:val="left"/>
      <w:pPr>
        <w:ind w:left="55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DB44DFC">
      <w:start w:val="1"/>
      <w:numFmt w:val="lowerRoman"/>
      <w:lvlText w:val="%9"/>
      <w:lvlJc w:val="left"/>
      <w:pPr>
        <w:ind w:left="62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1FC5728F"/>
    <w:multiLevelType w:val="hybridMultilevel"/>
    <w:tmpl w:val="38100D98"/>
    <w:lvl w:ilvl="0" w:tplc="CDC82D1E">
      <w:start w:val="4"/>
      <w:numFmt w:val="upperRoman"/>
      <w:lvlText w:val="%1."/>
      <w:lvlJc w:val="left"/>
      <w:pPr>
        <w:ind w:left="14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06200BE">
      <w:start w:val="1"/>
      <w:numFmt w:val="lowerLetter"/>
      <w:lvlText w:val="%2"/>
      <w:lvlJc w:val="left"/>
      <w:pPr>
        <w:ind w:left="16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220E152">
      <w:start w:val="1"/>
      <w:numFmt w:val="lowerRoman"/>
      <w:lvlText w:val="%3"/>
      <w:lvlJc w:val="left"/>
      <w:pPr>
        <w:ind w:left="24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3229DFE">
      <w:start w:val="1"/>
      <w:numFmt w:val="decimal"/>
      <w:lvlText w:val="%4"/>
      <w:lvlJc w:val="left"/>
      <w:pPr>
        <w:ind w:left="31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BFCBC4E">
      <w:start w:val="1"/>
      <w:numFmt w:val="lowerLetter"/>
      <w:lvlText w:val="%5"/>
      <w:lvlJc w:val="left"/>
      <w:pPr>
        <w:ind w:left="38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7806396">
      <w:start w:val="1"/>
      <w:numFmt w:val="lowerRoman"/>
      <w:lvlText w:val="%6"/>
      <w:lvlJc w:val="left"/>
      <w:pPr>
        <w:ind w:left="45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3CA56E8">
      <w:start w:val="1"/>
      <w:numFmt w:val="decimal"/>
      <w:lvlText w:val="%7"/>
      <w:lvlJc w:val="left"/>
      <w:pPr>
        <w:ind w:left="52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CEC0868">
      <w:start w:val="1"/>
      <w:numFmt w:val="lowerLetter"/>
      <w:lvlText w:val="%8"/>
      <w:lvlJc w:val="left"/>
      <w:pPr>
        <w:ind w:left="60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F148CA0">
      <w:start w:val="1"/>
      <w:numFmt w:val="lowerRoman"/>
      <w:lvlText w:val="%9"/>
      <w:lvlJc w:val="left"/>
      <w:pPr>
        <w:ind w:left="67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36DE2A96"/>
    <w:multiLevelType w:val="hybridMultilevel"/>
    <w:tmpl w:val="D1483E4C"/>
    <w:lvl w:ilvl="0" w:tplc="618EF4C6">
      <w:start w:val="1"/>
      <w:numFmt w:val="lowerLetter"/>
      <w:lvlText w:val="%1)"/>
      <w:lvlJc w:val="left"/>
      <w:pPr>
        <w:ind w:left="8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BC473A0">
      <w:start w:val="1"/>
      <w:numFmt w:val="lowerLetter"/>
      <w:lvlText w:val="%2"/>
      <w:lvlJc w:val="left"/>
      <w:pPr>
        <w:ind w:left="15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46AFA5A">
      <w:start w:val="1"/>
      <w:numFmt w:val="lowerRoman"/>
      <w:lvlText w:val="%3"/>
      <w:lvlJc w:val="left"/>
      <w:pPr>
        <w:ind w:left="22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1843C54">
      <w:start w:val="1"/>
      <w:numFmt w:val="decimal"/>
      <w:lvlText w:val="%4"/>
      <w:lvlJc w:val="left"/>
      <w:pPr>
        <w:ind w:left="29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FCCADCA">
      <w:start w:val="1"/>
      <w:numFmt w:val="lowerLetter"/>
      <w:lvlText w:val="%5"/>
      <w:lvlJc w:val="left"/>
      <w:pPr>
        <w:ind w:left="36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C20F7CA">
      <w:start w:val="1"/>
      <w:numFmt w:val="lowerRoman"/>
      <w:lvlText w:val="%6"/>
      <w:lvlJc w:val="left"/>
      <w:pPr>
        <w:ind w:left="44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55058A4">
      <w:start w:val="1"/>
      <w:numFmt w:val="decimal"/>
      <w:lvlText w:val="%7"/>
      <w:lvlJc w:val="left"/>
      <w:pPr>
        <w:ind w:left="51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52CA6A2">
      <w:start w:val="1"/>
      <w:numFmt w:val="lowerLetter"/>
      <w:lvlText w:val="%8"/>
      <w:lvlJc w:val="left"/>
      <w:pPr>
        <w:ind w:left="58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68214C0">
      <w:start w:val="1"/>
      <w:numFmt w:val="lowerRoman"/>
      <w:lvlText w:val="%9"/>
      <w:lvlJc w:val="left"/>
      <w:pPr>
        <w:ind w:left="65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3D4C4BA0"/>
    <w:multiLevelType w:val="hybridMultilevel"/>
    <w:tmpl w:val="D8E69194"/>
    <w:lvl w:ilvl="0" w:tplc="65444CBC">
      <w:start w:val="1"/>
      <w:numFmt w:val="upperRoman"/>
      <w:lvlText w:val="%1."/>
      <w:lvlJc w:val="left"/>
      <w:pPr>
        <w:ind w:left="12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45A018C">
      <w:start w:val="1"/>
      <w:numFmt w:val="lowerLetter"/>
      <w:lvlText w:val="%2)"/>
      <w:lvlJc w:val="left"/>
      <w:pPr>
        <w:ind w:left="19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9EC877E">
      <w:start w:val="1"/>
      <w:numFmt w:val="lowerRoman"/>
      <w:lvlText w:val="%3"/>
      <w:lvlJc w:val="left"/>
      <w:pPr>
        <w:ind w:left="26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4C4AAB8">
      <w:start w:val="1"/>
      <w:numFmt w:val="decimal"/>
      <w:lvlText w:val="%4"/>
      <w:lvlJc w:val="left"/>
      <w:pPr>
        <w:ind w:left="33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23EFF98">
      <w:start w:val="1"/>
      <w:numFmt w:val="lowerLetter"/>
      <w:lvlText w:val="%5"/>
      <w:lvlJc w:val="left"/>
      <w:pPr>
        <w:ind w:left="40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F12338A">
      <w:start w:val="1"/>
      <w:numFmt w:val="lowerRoman"/>
      <w:lvlText w:val="%6"/>
      <w:lvlJc w:val="left"/>
      <w:pPr>
        <w:ind w:left="47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8A0ECC0">
      <w:start w:val="1"/>
      <w:numFmt w:val="decimal"/>
      <w:lvlText w:val="%7"/>
      <w:lvlJc w:val="left"/>
      <w:pPr>
        <w:ind w:left="54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5E0BA2C">
      <w:start w:val="1"/>
      <w:numFmt w:val="lowerLetter"/>
      <w:lvlText w:val="%8"/>
      <w:lvlJc w:val="left"/>
      <w:pPr>
        <w:ind w:left="62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A0C9FF8">
      <w:start w:val="1"/>
      <w:numFmt w:val="lowerRoman"/>
      <w:lvlText w:val="%9"/>
      <w:lvlJc w:val="left"/>
      <w:pPr>
        <w:ind w:left="69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3D913213"/>
    <w:multiLevelType w:val="hybridMultilevel"/>
    <w:tmpl w:val="6236414C"/>
    <w:lvl w:ilvl="0" w:tplc="73842D36">
      <w:start w:val="1"/>
      <w:numFmt w:val="upperRoman"/>
      <w:lvlText w:val="%1"/>
      <w:lvlJc w:val="left"/>
      <w:pPr>
        <w:ind w:left="6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16E289E">
      <w:start w:val="1"/>
      <w:numFmt w:val="lowerLetter"/>
      <w:lvlText w:val="%2"/>
      <w:lvlJc w:val="left"/>
      <w:pPr>
        <w:ind w:left="15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EEA0CC4">
      <w:start w:val="1"/>
      <w:numFmt w:val="lowerRoman"/>
      <w:lvlText w:val="%3"/>
      <w:lvlJc w:val="left"/>
      <w:pPr>
        <w:ind w:left="22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5EA0258">
      <w:start w:val="1"/>
      <w:numFmt w:val="decimal"/>
      <w:lvlText w:val="%4"/>
      <w:lvlJc w:val="left"/>
      <w:pPr>
        <w:ind w:left="29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08A1AEE">
      <w:start w:val="1"/>
      <w:numFmt w:val="lowerLetter"/>
      <w:lvlText w:val="%5"/>
      <w:lvlJc w:val="left"/>
      <w:pPr>
        <w:ind w:left="36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5AE45B2">
      <w:start w:val="1"/>
      <w:numFmt w:val="lowerRoman"/>
      <w:lvlText w:val="%6"/>
      <w:lvlJc w:val="left"/>
      <w:pPr>
        <w:ind w:left="44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E1ADB06">
      <w:start w:val="1"/>
      <w:numFmt w:val="decimal"/>
      <w:lvlText w:val="%7"/>
      <w:lvlJc w:val="left"/>
      <w:pPr>
        <w:ind w:left="51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E02B9F4">
      <w:start w:val="1"/>
      <w:numFmt w:val="lowerLetter"/>
      <w:lvlText w:val="%8"/>
      <w:lvlJc w:val="left"/>
      <w:pPr>
        <w:ind w:left="58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0F250D8">
      <w:start w:val="1"/>
      <w:numFmt w:val="lowerRoman"/>
      <w:lvlText w:val="%9"/>
      <w:lvlJc w:val="left"/>
      <w:pPr>
        <w:ind w:left="65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47317703"/>
    <w:multiLevelType w:val="hybridMultilevel"/>
    <w:tmpl w:val="E2E87A0A"/>
    <w:lvl w:ilvl="0" w:tplc="58A4F2EE">
      <w:start w:val="2"/>
      <w:numFmt w:val="upperRoman"/>
      <w:lvlText w:val="%1."/>
      <w:lvlJc w:val="left"/>
      <w:pPr>
        <w:ind w:left="13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EC01536">
      <w:start w:val="1"/>
      <w:numFmt w:val="lowerLetter"/>
      <w:lvlText w:val="%2"/>
      <w:lvlJc w:val="left"/>
      <w:pPr>
        <w:ind w:left="17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266DACC">
      <w:start w:val="1"/>
      <w:numFmt w:val="lowerRoman"/>
      <w:lvlText w:val="%3"/>
      <w:lvlJc w:val="left"/>
      <w:pPr>
        <w:ind w:left="24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C943C24">
      <w:start w:val="1"/>
      <w:numFmt w:val="decimal"/>
      <w:lvlText w:val="%4"/>
      <w:lvlJc w:val="left"/>
      <w:pPr>
        <w:ind w:left="32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DF2C274">
      <w:start w:val="1"/>
      <w:numFmt w:val="lowerLetter"/>
      <w:lvlText w:val="%5"/>
      <w:lvlJc w:val="left"/>
      <w:pPr>
        <w:ind w:left="39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55E4322">
      <w:start w:val="1"/>
      <w:numFmt w:val="lowerRoman"/>
      <w:lvlText w:val="%6"/>
      <w:lvlJc w:val="left"/>
      <w:pPr>
        <w:ind w:left="46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E6E0688">
      <w:start w:val="1"/>
      <w:numFmt w:val="decimal"/>
      <w:lvlText w:val="%7"/>
      <w:lvlJc w:val="left"/>
      <w:pPr>
        <w:ind w:left="53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938BEFA">
      <w:start w:val="1"/>
      <w:numFmt w:val="lowerLetter"/>
      <w:lvlText w:val="%8"/>
      <w:lvlJc w:val="left"/>
      <w:pPr>
        <w:ind w:left="60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D3CA432">
      <w:start w:val="1"/>
      <w:numFmt w:val="lowerRoman"/>
      <w:lvlText w:val="%9"/>
      <w:lvlJc w:val="left"/>
      <w:pPr>
        <w:ind w:left="68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004"/>
    <w:rsid w:val="00067BF4"/>
    <w:rsid w:val="00620004"/>
    <w:rsid w:val="00DF7D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docId w15:val="{3FFED2C5-02C4-4947-811C-C92B16206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5" w:line="243" w:lineRule="auto"/>
      <w:ind w:left="455" w:hanging="10"/>
      <w:jc w:val="both"/>
    </w:pPr>
    <w:rPr>
      <w:rFonts w:ascii="Times New Roman" w:eastAsia="Times New Roman" w:hAnsi="Times New Roman" w:cs="Times New Roman"/>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2871</Words>
  <Characters>15508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CONVￊNIO nﾺ</vt:lpstr>
    </vt:vector>
  </TitlesOfParts>
  <Company/>
  <LinksUpToDate>false</LinksUpToDate>
  <CharactersWithSpaces>18343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CONVￊNIO nﾺ</dc:title>
  <dc:subject/>
  <dc:creator>Rafael de Souza;Larissa</dc:creator>
  <cp:keywords/>
  <cp:lastModifiedBy>User</cp:lastModifiedBy>
  <cp:revision>2</cp:revision>
  <dcterms:created xsi:type="dcterms:W3CDTF">2021-08-11T20:44:00Z</dcterms:created>
  <dcterms:modified xsi:type="dcterms:W3CDTF">2021-08-11T20:44:00Z</dcterms:modified>
</cp:coreProperties>
</file>